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附件1</w:t>
      </w:r>
    </w:p>
    <w:p>
      <w:pPr>
        <w:widowControl/>
        <w:jc w:val="center"/>
        <w:rPr>
          <w:rFonts w:ascii="汉仪仿宋简" w:eastAsia="汉仪仿宋简"/>
        </w:rPr>
      </w:pPr>
      <w:r>
        <w:rPr>
          <w:rFonts w:hint="eastAsia" w:ascii="宋体" w:hAnsi="宋体" w:cs="仿宋_GB2312"/>
          <w:b/>
          <w:sz w:val="28"/>
          <w:szCs w:val="28"/>
        </w:rPr>
        <w:t>同步集中培训课程表</w:t>
      </w:r>
    </w:p>
    <w:tbl>
      <w:tblPr>
        <w:tblStyle w:val="3"/>
        <w:tblW w:w="103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940"/>
        <w:gridCol w:w="1703"/>
        <w:gridCol w:w="2170"/>
        <w:gridCol w:w="1239"/>
        <w:gridCol w:w="1243"/>
        <w:gridCol w:w="13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培训课程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培训时间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主讲教师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参训方式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主会场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开课点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普通高校本科教学工作审核评估专题培训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9月22-23日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刘建清（</w:t>
            </w:r>
            <w:r>
              <w:fldChar w:fldCharType="begin"/>
            </w:r>
            <w:r>
              <w:instrText xml:space="preserve">HYPERLINK "http://www.baidu.com/link?url=7Jdwqc2C0L9MtGrzIpGGpk15OKXEkeQTJH6oGIg5A9am3NiqDjcV-7POQ-N9itgY" \t "_blank"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</w:rPr>
              <w:t>荆楚理工学院</w:t>
            </w:r>
            <w:r>
              <w:fldChar w:fldCharType="end"/>
            </w:r>
            <w:r>
              <w:rPr>
                <w:rFonts w:hint="eastAsia" w:ascii="宋体" w:hAnsi="宋体" w:cs="宋体"/>
                <w:bCs/>
                <w:kern w:val="0"/>
              </w:rPr>
              <w:t>）、周华丽（北京联合大学）等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长沙分中心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2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教学创新的主阵地：未来课堂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9月22-23日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张际平、邱峰、潘正凯、庞士鹏（华东师范大学）等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河南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湖南分中心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3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新进教师教学核心素养培训：教学认知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10月13-14日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韩映雄（华东师范大学），母小勇（苏州大学），赵玉芳（西南大学）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浙江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湖南分中心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教学成果奖申报与科研能力提升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10月13-14日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林志新（上海交通大学）等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南开大学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</w:rPr>
              <w:t>长沙分中心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5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高校思政课混合式教学模式改革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</w:rPr>
              <w:t>10月20-21日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/>
              </w:rPr>
              <w:t>冯务中、张瑜（清华大学）等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长沙分中心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高校院系负责人综合能力提升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10月27-28日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葛宝臻（天津商业大学）等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延边大学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湖南分中心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hd w:val="pct10" w:color="auto" w:fill="FFFFFF"/>
              </w:rPr>
            </w:pPr>
            <w:r>
              <w:rPr>
                <w:rFonts w:hint="eastAsia"/>
              </w:rPr>
              <w:t>新工科理念下的人才培养模式创新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11月3-4日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姜嘉乐（华中科技大学）等</w:t>
            </w:r>
          </w:p>
          <w:p>
            <w:pPr>
              <w:widowControl/>
              <w:jc w:val="left"/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hd w:val="pct10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大连大学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</w:rPr>
              <w:t>长沙分中心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>教学学术与高校教师发展模式探索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11月3-4日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丁妍（复旦大学）等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网培中心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湖南分中心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大数据指导下的教学变革——数据挖掘与教学诊断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</w:rPr>
              <w:t>11月10-11日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谢作栩（厦门大学）等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浙江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</w:rPr>
              <w:t>长沙分中心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10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教学名师从教经验谈：课堂教学的艺术（理）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11月17-18日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陈后金（北京交通大学），张爱华（河北师范大学）等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石家庄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湖南分中心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教学名师从教经验谈：课堂教学的艺术（文）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11月17-18日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张福贵（吉林大学）等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网培中心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</w:rPr>
              <w:t>长沙分中心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12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教研室团队建设与教改实践探索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11</w:t>
            </w:r>
            <w:r>
              <w:rPr>
                <w:rFonts w:ascii="宋体" w:hAnsi="宋体" w:cs="宋体"/>
                <w:bCs/>
                <w:kern w:val="0"/>
              </w:rPr>
              <w:t>月2</w:t>
            </w:r>
            <w:r>
              <w:rPr>
                <w:rFonts w:hint="eastAsia" w:ascii="宋体" w:hAnsi="宋体" w:cs="宋体"/>
                <w:bCs/>
                <w:kern w:val="0"/>
              </w:rPr>
              <w:t>4</w:t>
            </w:r>
            <w:r>
              <w:rPr>
                <w:rFonts w:ascii="宋体" w:hAnsi="宋体" w:cs="宋体"/>
                <w:bCs/>
                <w:kern w:val="0"/>
              </w:rPr>
              <w:t>-2</w:t>
            </w:r>
            <w:r>
              <w:rPr>
                <w:rFonts w:hint="eastAsia" w:ascii="宋体" w:hAnsi="宋体" w:cs="宋体"/>
                <w:bCs/>
                <w:kern w:val="0"/>
              </w:rPr>
              <w:t>5</w:t>
            </w:r>
            <w:r>
              <w:rPr>
                <w:rFonts w:ascii="宋体" w:hAnsi="宋体" w:cs="宋体"/>
                <w:bCs/>
                <w:kern w:val="0"/>
              </w:rPr>
              <w:t>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</w:rPr>
              <w:t>张树永（山东大学），刘志军（大连理工大学），陈庆章（浙江工业大学）等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四川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湖南分中心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创业教育与专业教育的融合教学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11</w:t>
            </w:r>
            <w:r>
              <w:rPr>
                <w:rFonts w:ascii="宋体" w:hAnsi="宋体" w:cs="宋体"/>
                <w:bCs/>
                <w:kern w:val="0"/>
              </w:rPr>
              <w:t>月2</w:t>
            </w:r>
            <w:r>
              <w:rPr>
                <w:rFonts w:hint="eastAsia" w:ascii="宋体" w:hAnsi="宋体" w:cs="宋体"/>
                <w:bCs/>
                <w:kern w:val="0"/>
              </w:rPr>
              <w:t>4</w:t>
            </w:r>
            <w:r>
              <w:rPr>
                <w:rFonts w:ascii="宋体" w:hAnsi="宋体" w:cs="宋体"/>
                <w:bCs/>
                <w:kern w:val="0"/>
              </w:rPr>
              <w:t>-2</w:t>
            </w:r>
            <w:r>
              <w:rPr>
                <w:rFonts w:hint="eastAsia" w:ascii="宋体" w:hAnsi="宋体" w:cs="宋体"/>
                <w:bCs/>
                <w:kern w:val="0"/>
              </w:rPr>
              <w:t>5</w:t>
            </w:r>
            <w:r>
              <w:rPr>
                <w:rFonts w:ascii="宋体" w:hAnsi="宋体" w:cs="宋体"/>
                <w:bCs/>
                <w:kern w:val="0"/>
              </w:rPr>
              <w:t>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朱燕空（河北地质大学）等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大连大学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</w:rPr>
              <w:t>长沙分中心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14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期刊编辑视角下的学术论文写作与发表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哲学社会科学类)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12月1-2日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刘曙光（北京大学学报）等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网培中心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长沙分中心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15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 xml:space="preserve">创新创业教育实践教学模式的创新与实践   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12月1-2日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薛凡（黄淮学院）等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黄淮学院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湖南分中心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16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高校离退休人员专题培训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12月8-9日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康琳（北京协和医学院）等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大连大学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</w:rPr>
              <w:t>湖南分中心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17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高校外语教学中的思辨能力培养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12月8-9日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侯毅凌（北京外国语大学），夏纪梅（中山大学）等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网培中心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</w:rPr>
              <w:t>长沙分中心</w:t>
            </w:r>
          </w:p>
        </w:tc>
      </w:tr>
    </w:tbl>
    <w:p>
      <w:pPr>
        <w:adjustRightInd w:val="0"/>
        <w:snapToGrid w:val="0"/>
        <w:spacing w:line="520" w:lineRule="exact"/>
        <w:ind w:left="1200" w:hanging="1200" w:hangingChars="400"/>
        <w:rPr>
          <w:rFonts w:ascii="仿宋_GB2312" w:hAnsi="仿宋_GB2312" w:cs="仿宋_GB2312"/>
          <w:sz w:val="30"/>
          <w:szCs w:val="30"/>
        </w:rPr>
      </w:pPr>
    </w:p>
    <w:p>
      <w:pPr>
        <w:rPr>
          <w:rFonts w:ascii="仿宋_GB2312" w:hAnsi="华文宋体" w:eastAsia="仿宋_GB2312" w:cs="仿宋_GB2312"/>
          <w:sz w:val="28"/>
          <w:szCs w:val="28"/>
        </w:rPr>
        <w:sectPr>
          <w:pgSz w:w="11906" w:h="16838"/>
          <w:pgMar w:top="1134" w:right="1474" w:bottom="1474" w:left="1588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华文宋体" w:eastAsia="仿宋_GB2312" w:cs="仿宋_GB2312"/>
          <w:sz w:val="28"/>
          <w:szCs w:val="28"/>
        </w:rPr>
      </w:pPr>
      <w:r>
        <w:rPr>
          <w:rFonts w:hint="eastAsia" w:ascii="仿宋_GB2312" w:hAnsi="华文宋体" w:eastAsia="仿宋_GB2312" w:cs="仿宋_GB2312"/>
          <w:sz w:val="30"/>
          <w:szCs w:val="30"/>
        </w:rPr>
        <w:t xml:space="preserve">附件2 </w:t>
      </w:r>
      <w:r>
        <w:rPr>
          <w:rFonts w:hint="eastAsia" w:ascii="仿宋_GB2312" w:hAnsi="华文宋体" w:eastAsia="仿宋_GB2312" w:cs="仿宋_GB2312"/>
          <w:sz w:val="28"/>
          <w:szCs w:val="28"/>
        </w:rPr>
        <w:t xml:space="preserve">          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高校教师网络培训计划申报表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部门：                                      </w:t>
      </w:r>
    </w:p>
    <w:tbl>
      <w:tblPr>
        <w:tblStyle w:val="3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056"/>
        <w:gridCol w:w="3583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（可加页）</w:t>
      </w:r>
    </w:p>
    <w:p>
      <w:pPr>
        <w:jc w:val="right"/>
        <w:rPr>
          <w:rFonts w:hint="eastAsia" w:ascii="仿宋_GB2312" w:eastAsia="仿宋_GB2312"/>
        </w:rPr>
      </w:pPr>
    </w:p>
    <w:p>
      <w:pPr>
        <w:jc w:val="right"/>
        <w:rPr>
          <w:rFonts w:ascii="仿宋_GB2312" w:eastAsia="仿宋_GB2312"/>
        </w:rPr>
      </w:pPr>
    </w:p>
    <w:p>
      <w:pPr>
        <w:jc w:val="right"/>
        <w:rPr>
          <w:rFonts w:ascii="仿宋_GB2312" w:eastAsia="仿宋_GB2312"/>
        </w:rPr>
      </w:pPr>
    </w:p>
    <w:p>
      <w:pPr>
        <w:jc w:val="right"/>
        <w:rPr>
          <w:rFonts w:ascii="仿宋_GB2312" w:eastAsia="仿宋_GB2312"/>
        </w:rPr>
      </w:pPr>
    </w:p>
    <w:p>
      <w:pPr>
        <w:jc w:val="right"/>
        <w:rPr>
          <w:rFonts w:ascii="仿宋_GB2312" w:eastAsia="仿宋_GB2312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</w:t>
      </w:r>
    </w:p>
    <w:p>
      <w:pPr>
        <w:rPr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</w:t>
      </w:r>
      <w:r>
        <w:rPr>
          <w:rFonts w:hint="eastAsia"/>
          <w:b/>
          <w:sz w:val="30"/>
          <w:szCs w:val="30"/>
        </w:rPr>
        <w:t>网培中心集中培训报名流程说明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进入网页</w:t>
      </w:r>
      <w:r>
        <w:fldChar w:fldCharType="begin"/>
      </w:r>
      <w:r>
        <w:instrText xml:space="preserve">HYPERLINK "http://www.enetedu.com/"</w:instrText>
      </w:r>
      <w:r>
        <w:fldChar w:fldCharType="separate"/>
      </w:r>
      <w:r>
        <w:rPr>
          <w:rStyle w:val="5"/>
          <w:szCs w:val="21"/>
        </w:rPr>
        <w:t>http://www.enetedu.com/</w:t>
      </w:r>
      <w:r>
        <w:fldChar w:fldCharType="end"/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szCs w:val="21"/>
        </w:rPr>
        <w:t>网页右上角</w: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"../../../../../Users/ThinkPad/AppData/Roaming/Tencent/Users/43532896/QQ/WinTemp/RichOle/Q_NIE(OVVO%606WBOTI)6LGYI.png"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951865" cy="427990"/>
            <wp:effectExtent l="0" t="0" r="635" b="10160"/>
            <wp:docPr id="1" name="图片 1" descr="Q_NIE(OVVO`6WBOTI)6LG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_NIE(OVVO`6WBOTI)6LGYI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hint="eastAsia"/>
          <w:szCs w:val="21"/>
        </w:rPr>
        <w:t>如果已经注册过则直接可以登录，如果没有则直接点击“注册”。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drawing>
          <wp:inline distT="0" distB="0" distL="114300" distR="114300">
            <wp:extent cx="5351780" cy="5368925"/>
            <wp:effectExtent l="0" t="0" r="1270" b="3175"/>
            <wp:docPr id="2" name="图片 2" descr="HYZ{2{A`Y{2TI2WXQ0W@2]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YZ{2{A`Y{2TI2WXQ0W@2]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53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注意：一定填写真实信息，以便发结业证书，其中</w:t>
      </w:r>
      <w:r>
        <w:rPr>
          <w:rFonts w:ascii="宋体" w:hAnsi="宋体" w:cs="宋体"/>
          <w:kern w:val="0"/>
          <w:szCs w:val="21"/>
        </w:rPr>
        <w:drawing>
          <wp:inline distT="0" distB="0" distL="114300" distR="114300">
            <wp:extent cx="2314575" cy="266700"/>
            <wp:effectExtent l="0" t="0" r="9525" b="0"/>
            <wp:docPr id="3" name="图片 3" descr="3ON3MO3XTMHDWK4(5`$9R@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ON3MO3XTMHDWK4(5`$9R@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t>将是登录的用户名，密码一定要设置为字母和数字的混合，以避免后续不能登录的情况发生。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注册完后回到主页</w:t>
      </w:r>
      <w:r>
        <w:fldChar w:fldCharType="begin"/>
      </w:r>
      <w:r>
        <w:instrText xml:space="preserve">HYPERLINK "http://www.enetedu.com/"</w:instrText>
      </w:r>
      <w:r>
        <w:fldChar w:fldCharType="separate"/>
      </w:r>
      <w:r>
        <w:rPr>
          <w:rStyle w:val="5"/>
          <w:szCs w:val="21"/>
        </w:rPr>
        <w:t>http://www.enetedu.com/</w:t>
      </w:r>
      <w:r>
        <w:fldChar w:fldCharType="end"/>
      </w:r>
      <w:r>
        <w:rPr>
          <w:rFonts w:hint="eastAsia"/>
          <w:szCs w:val="21"/>
        </w:rPr>
        <w:t>登录，然后点击“进入个人中心”。</w:t>
      </w:r>
    </w:p>
    <w:p>
      <w:pPr>
        <w:widowControl/>
        <w:ind w:left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"../../../../../Users/ThinkPad/AppData/Roaming/Tencent/Users/43532896/QQ/WinTemp/RichOle/_F6T%60S90%5b539E8Z92_5%7bY%5bG.png"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1544320" cy="1087120"/>
            <wp:effectExtent l="0" t="0" r="17780" b="17780"/>
            <wp:docPr id="4" name="图片 4" descr="_F6T`S90[539E8Z92_5{Y[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F6T`S90[539E8Z92_5{Y[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在上图中最上方点击“同步直播课程”</w:t>
      </w:r>
    </w:p>
    <w:p>
      <w:pPr>
        <w:widowControl/>
        <w:ind w:left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"../../../../../Users/ThinkPad/AppData/Roaming/Tencent/Users/43532896/QQ/WinTemp/RichOle/JZ~3Y~~JEP49I@ONK1%601J09.png"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1648460" cy="1543685"/>
            <wp:effectExtent l="0" t="0" r="8890" b="18415"/>
            <wp:docPr id="5" name="图片 5" descr="JZ~3Y~~JEP49I@ONK1`1J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JZ~3Y~~JEP49I@ONK1`1J0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rPr>
          <w:szCs w:val="21"/>
        </w:rPr>
      </w:pP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直接在课程培训列表中选择要报名的课程</w:t>
      </w:r>
    </w:p>
    <w:p>
      <w:pPr>
        <w:widowControl/>
        <w:ind w:left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"../../../../../Users/ThinkPad/AppData/Roaming/Tencent/Users/43532896/QQ/WinTemp/RichOle/@IVMR$Z%25M_B~VWN2YPF%5bYI0.png"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467350" cy="3856990"/>
            <wp:effectExtent l="0" t="0" r="0" b="10160"/>
            <wp:docPr id="6" name="图片 6" descr="@IVMR$Z%M_B~VWN2YPF[Y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@IVMR$Z%M_B~VWN2YPF[YI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r>
        <w:rPr>
          <w:rFonts w:hint="eastAsia" w:ascii="宋体" w:hAnsi="宋体" w:cs="宋体"/>
          <w:kern w:val="0"/>
          <w:szCs w:val="21"/>
        </w:rPr>
        <w:t>然后再选择对应课程后面的</w:t>
      </w:r>
      <w:r>
        <w:fldChar w:fldCharType="begin"/>
      </w:r>
      <w:r>
        <w:instrText xml:space="preserve"> INCLUDEPICTURE "../../../../../Users/ThinkPad/AppData/Roaming/Tencent/Users/43532896/QQ/WinTemp/RichOle/%7b%5dNA%605Z99ZKPO7H%60589CA15.png" \* MERGEFORMAT </w:instrText>
      </w:r>
      <w:r>
        <w:fldChar w:fldCharType="separate"/>
      </w:r>
      <w:r>
        <w:drawing>
          <wp:inline distT="0" distB="0" distL="114300" distR="114300">
            <wp:extent cx="581660" cy="257810"/>
            <wp:effectExtent l="0" t="0" r="8890" b="8890"/>
            <wp:docPr id="7" name="图片 7" descr="{]NA`5Z99ZKPO7H`589C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{]NA`5Z99ZKPO7H`589CA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 w:cs="宋体"/>
          <w:kern w:val="0"/>
          <w:szCs w:val="21"/>
        </w:rPr>
        <w:t>“现在报名”。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按照流程将出现个人信息界面，请完善的相关信息；其中培训地点选择“教育部全国高校教师网络培训中心湖南省分中心”或者“教育部全国高校教师网络培训中心长沙市分中心”（只会出现其中一个供选择）。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6115050" cy="295275"/>
            <wp:effectExtent l="0" t="0" r="0" b="9525"/>
            <wp:docPr id="8" name="图片 8" descr="M2XLW%AYV3`KO58[T8~4P]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M2XLW%AYV3`KO58[T8~4P]W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填写确认完后提交即完成注册以及报名。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网培中心集中培训后续流程说明</w:t>
      </w:r>
    </w:p>
    <w:p>
      <w:pPr>
        <w:rPr>
          <w:szCs w:val="21"/>
        </w:rPr>
      </w:pPr>
      <w:r>
        <w:rPr>
          <w:rFonts w:hint="eastAsia"/>
          <w:szCs w:val="21"/>
        </w:rPr>
        <w:t>1、主页</w:t>
      </w:r>
      <w:r>
        <w:fldChar w:fldCharType="begin"/>
      </w:r>
      <w:r>
        <w:instrText xml:space="preserve">HYPERLINK "http://www.enetedu.com/"</w:instrText>
      </w:r>
      <w:r>
        <w:fldChar w:fldCharType="separate"/>
      </w:r>
      <w:r>
        <w:rPr>
          <w:rStyle w:val="5"/>
          <w:szCs w:val="21"/>
        </w:rPr>
        <w:t>http://www.enetedu.com/</w:t>
      </w:r>
      <w:r>
        <w:fldChar w:fldCharType="end"/>
      </w:r>
      <w:r>
        <w:rPr>
          <w:rFonts w:hint="eastAsia"/>
          <w:szCs w:val="21"/>
        </w:rPr>
        <w:t>登录，然后点击“进入个人中心”。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"../../../../../Users/ThinkPad/AppData/Roaming/Tencent/Users/43532896/QQ/WinTemp/RichOle/Q_NIE(OVVO%606WBOTI)6LGYI.png"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951865" cy="427990"/>
            <wp:effectExtent l="0" t="0" r="635" b="10160"/>
            <wp:docPr id="9" name="图片 9" descr="Q_NIE(OVVO`6WBOTI)6LG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_NIE(OVVO`6WBOTI)6LGYI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"../../../../../Users/ThinkPad/AppData/Roaming/Tencent/Users/43532896/QQ/WinTemp/RichOle/(OF_B31RA13ZI%7dOOPFSKILQ.png"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905500" cy="3956685"/>
            <wp:effectExtent l="0" t="0" r="0" b="5715"/>
            <wp:docPr id="10" name="图片 10" descr="(OF_B31RA13ZI}OOPFSKI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(OF_B31RA13ZI}OOPFSKILQ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szCs w:val="21"/>
        </w:rPr>
        <w:t>2、进入“个人中心”后点击“同步直播课程”，可以进入到您最近选报名的直播课程</w:t>
      </w:r>
      <w:r>
        <w:rPr>
          <w:rFonts w:hint="eastAsia" w:ascii="宋体" w:hAnsi="宋体" w:cs="宋体"/>
          <w:kern w:val="0"/>
          <w:szCs w:val="21"/>
        </w:rPr>
        <w:t>。（在线课程）</w:t>
      </w:r>
    </w:p>
    <w:p>
      <w:pPr>
        <w:widowControl/>
        <w:ind w:left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"../../../../../Users/ThinkPad/AppData/Roaming/Tencent/Users/43532896/QQ/WinTemp/RichOle/%7dEW~L5Q@O1%5dIPZHPHIG16@9.png"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219700" cy="704850"/>
            <wp:effectExtent l="0" t="0" r="0" b="0"/>
            <wp:docPr id="11" name="图片 11" descr="}EW~L5Q@O1]IPZHPHIG16@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}EW~L5Q@O1]IPZHPHIG16@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szCs w:val="21"/>
        </w:rPr>
        <w:t>在视频学习完后请按照一下步骤逐一完成，每完成一步即会显示</w:t>
      </w:r>
      <w:r>
        <w:rPr>
          <w:rFonts w:ascii="宋体" w:hAnsi="宋体" w:cs="宋体"/>
          <w:kern w:val="0"/>
          <w:sz w:val="24"/>
        </w:rPr>
        <w:t>变成</w:t>
      </w:r>
      <w:r>
        <w:rPr>
          <w:rFonts w:hint="eastAsia" w:ascii="宋体" w:hAnsi="宋体" w:cs="宋体"/>
          <w:kern w:val="0"/>
          <w:sz w:val="24"/>
        </w:rPr>
        <w:t>绿色。（</w:t>
      </w:r>
      <w:r>
        <w:rPr>
          <w:rFonts w:hint="eastAsia"/>
          <w:szCs w:val="21"/>
        </w:rPr>
        <w:t>分场的学员</w: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"../../../../../Users/ThinkPad/AppData/Roaming/Tencent/Users/43532896/QQ/WinTemp/RichOle/2_WR3BR@$5L018PDGCX2Y%7b5.png"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923925" cy="296545"/>
            <wp:effectExtent l="0" t="0" r="9525" b="8255"/>
            <wp:docPr id="12" name="图片 12" descr="2_WR3BR@$5L018PDGCX2Y{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_WR3BR@$5L018PDGCX2Y{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color w:val="FF0000"/>
          <w:kern w:val="0"/>
          <w:sz w:val="24"/>
        </w:rPr>
        <w:t>可以</w:t>
      </w:r>
      <w:r>
        <w:rPr>
          <w:rFonts w:hint="eastAsia"/>
          <w:color w:val="FF0000"/>
          <w:szCs w:val="21"/>
        </w:rPr>
        <w:t>不变绿</w:t>
      </w:r>
      <w:r>
        <w:rPr>
          <w:rFonts w:hint="eastAsia"/>
          <w:szCs w:val="21"/>
        </w:rPr>
        <w:t>）</w:t>
      </w:r>
    </w:p>
    <w:p>
      <w:pPr>
        <w:widowControl/>
        <w:ind w:left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"../../../../../Users/ThinkPad/AppData/Roaming/Tencent/Users/43532896/QQ/WinTemp/RichOle/BGP2(JH$Z6%5bN9PE%25B6E%7bGGG.png"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4914265" cy="770890"/>
            <wp:effectExtent l="0" t="0" r="635" b="10160"/>
            <wp:docPr id="13" name="图片 13" descr="BGP2(JH$Z6[N9PE%B6E{G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BGP2(JH$Z6[N9PE%B6E{GG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widowControl/>
        <w:ind w:left="36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ind w:left="360"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</w: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"../../../../../Users/ThinkPad/AppData/Roaming/Tencent/Users/43532896/QQ/WinTemp/RichOle/$R7R8FWLTVS$AB$U(%7d%5dD9%5dM.png"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1285875" cy="370205"/>
            <wp:effectExtent l="0" t="0" r="9525" b="10795"/>
            <wp:docPr id="14" name="图片 14" descr="$R7R8FWLTVS$AB$U(}]D9]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$R7R8FWLTVS$AB$U(}]D9]M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/>
          <w:szCs w:val="21"/>
        </w:rPr>
        <w:t>课程，如图所示：</w: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"../../../../../Users/ThinkPad/AppData/Roaming/Tencent/Users/43532896/QQ/WinTemp/RichOle/N9GU1U%256X%7b%5d%7bTZKN%5dV4~BI9.png"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1649095" cy="400685"/>
            <wp:effectExtent l="0" t="0" r="8255" b="18415"/>
            <wp:docPr id="15" name="图片 15" descr="N9GU1U%6X{]{TZKN]V4~BI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N9GU1U%6X{]{TZKN]V4~BI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"../../../../../Users/ThinkPad/AppData/Roaming/Tencent/Users/43532896/QQ/WinTemp/RichOle/O_MU@99IDS46$WP(%5dJXQ$@N.png"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4685665" cy="4392930"/>
            <wp:effectExtent l="0" t="0" r="635" b="7620"/>
            <wp:docPr id="16" name="图片 16" descr="O_MU@99IDS46$WP(]JXQ$@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O_MU@99IDS46$WP(]JXQ$@N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85665" cy="43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szCs w:val="21"/>
        </w:rPr>
        <w:t>点击您所想参与的一项学习内容后面的 “</w: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"../../../../../Users/ThinkPad/AppData/Roaming/Tencent/Users/43532896/QQ/WinTemp/RichOle/%5d(%25~@DC5FK%7b8I%7b$)V1SG$QB.png"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619760" cy="247015"/>
            <wp:effectExtent l="0" t="0" r="8890" b="635"/>
            <wp:docPr id="17" name="图片 17" descr="](%~@DC5FK{8I{$)V1SG$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](%~@DC5FK{8I{$)V1SG$QB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/>
          <w:szCs w:val="21"/>
        </w:rPr>
        <w:t>”，然后课程将显示在</w:t>
      </w:r>
      <w:r>
        <w:rPr>
          <w:szCs w:val="21"/>
        </w:rPr>
        <w:drawing>
          <wp:inline distT="0" distB="0" distL="114300" distR="114300">
            <wp:extent cx="1599565" cy="228600"/>
            <wp:effectExtent l="0" t="0" r="63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栏里，点击可进入学习录像视频。注意：如果学完没有变绿，则再次进入已经学完的视频一次即可（点开一下，不需要重新学）</w:t>
      </w:r>
    </w:p>
    <w:p>
      <w:pPr>
        <w:rPr>
          <w:szCs w:val="21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</w: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"../../../../../Users/ThinkPad/AppData/Roaming/Tencent/Users/43532896/QQ/WinTemp/RichOle/9%5dCKA1%5bM%7b0G$WJ3KVHC%5bIJ2.png"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885825" cy="370205"/>
            <wp:effectExtent l="0" t="0" r="9525" b="10795"/>
            <wp:docPr id="19" name="图片 19" descr="9]CKA1[M{0G$WJ3KVHC[I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9]CKA1[M{0G$WJ3KVHC[IJ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/>
          <w:szCs w:val="21"/>
        </w:rPr>
        <w:t>部分有两种选择。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"../../../../../Users/ThinkPad/AppData/Roaming/Tencent/Users/43532896/QQ/WinTemp/RichOle/WKJG3LL%7d%7dJKO)6~J(WPF%5bGD.png"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4895215" cy="389255"/>
            <wp:effectExtent l="0" t="0" r="635" b="10795"/>
            <wp:docPr id="20" name="图片 20" descr="WKJG3LL}}JKO)6~J(WPF[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WKJG3LL}}JKO)6~J(WPF[GD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"../../../../../Users/ThinkPad/AppData/Roaming/Tencent/Users/43532896/QQ/WinTemp/RichOle/0GC%5dYP2ZJ%7b%7bY%7d(WSK%5dL3B@4.png"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4866640" cy="389255"/>
            <wp:effectExtent l="0" t="0" r="10160" b="10795"/>
            <wp:docPr id="21" name="图片 21" descr="0GC]YP2ZJ{{Y}(WSK]L3B@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0GC]YP2ZJ{{Y}(WSK]L3B@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rPr>
          <w:szCs w:val="21"/>
        </w:rPr>
      </w:pPr>
      <w:r>
        <w:rPr>
          <w:rFonts w:hint="eastAsia"/>
          <w:szCs w:val="21"/>
        </w:rPr>
        <w:t>请根据个人情况选择完成即可。</w:t>
      </w:r>
    </w:p>
    <w:p>
      <w:pPr>
        <w:rPr>
          <w:szCs w:val="21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szCs w:val="21"/>
        </w:rPr>
        <w:t>5、</w: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"../../../../../Users/ThinkPad/AppData/Roaming/Tencent/Users/43532896/QQ/WinTemp/RichOle/GEJ0SLIRY5GFME)%256(LAM%5bT.png"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770890" cy="381000"/>
            <wp:effectExtent l="0" t="0" r="10160" b="0"/>
            <wp:docPr id="22" name="图片 22" descr="GEJ0SLIRY5GFME)%6(LAM[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GEJ0SLIRY5GFME)%6(LAM[T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/>
          <w:szCs w:val="21"/>
        </w:rPr>
        <w:t>板块，完成一个调查问卷后即可提交，建议先在word文档中写作业，然后粘贴提交：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"../../../../../Users/ThinkPad/AppData/Roaming/Tencent/Users/43532896/QQ/WinTemp/RichOle/NVX07%7bEKKLY$_U2ZZVM%5dS%250.png"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152390" cy="2818765"/>
            <wp:effectExtent l="0" t="0" r="10160" b="635"/>
            <wp:docPr id="23" name="图片 23" descr="NVX07{EKKLY$_U2ZZVM]S%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NVX07{EKKLY$_U2ZZVM]S%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szCs w:val="21"/>
        </w:rPr>
        <w:t>粘贴好标题、内容后，点击</w:t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4171950" cy="180975"/>
            <wp:effectExtent l="0" t="0" r="0" b="9525"/>
            <wp:docPr id="24" name="图片 24" descr="3QH@X_%AI{]7KD2$S{XCI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3QH@X_%AI{]7KD2$S{XCIB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</w:rPr>
        <w:t>中的</w:t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85750" cy="190500"/>
            <wp:effectExtent l="0" t="0" r="0" b="0"/>
            <wp:docPr id="25" name="图片 25" descr="LC3DHCT]Q3O$2(KZ9CZPY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LC3DHCT]Q3O$2(KZ9CZPYEO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再</w:t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800100" cy="244475"/>
            <wp:effectExtent l="0" t="0" r="0" b="3175"/>
            <wp:docPr id="26" name="图片 26" descr="V1ZIH4G29({OQGE@}(O%I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V1ZIH4G29({OQGE@}(O%IFO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即可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left="1200" w:hanging="1200" w:hangingChars="4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/>
        </w:rPr>
      </w:pPr>
    </w:p>
    <w:p/>
    <w:p>
      <w:pPr>
        <w:rPr>
          <w:rFonts w:hint="eastAsia" w:ascii="仿宋_GB2312" w:hAnsi="仿宋" w:eastAsia="仿宋_GB2312" w:cs="Arial"/>
          <w:bCs/>
          <w:kern w:val="36"/>
          <w:sz w:val="32"/>
          <w:szCs w:val="32"/>
        </w:rPr>
      </w:pPr>
    </w:p>
    <w:p>
      <w:pPr>
        <w:rPr>
          <w:rFonts w:hint="eastAsia" w:ascii="仿宋" w:hAnsi="仿宋" w:eastAsia="仿宋" w:cs="Arial"/>
          <w:bCs/>
          <w:kern w:val="36"/>
          <w:sz w:val="28"/>
          <w:szCs w:val="28"/>
        </w:rPr>
      </w:pPr>
    </w:p>
    <w:p>
      <w:pPr>
        <w:rPr>
          <w:rFonts w:hint="eastAsia" w:ascii="仿宋" w:hAnsi="仿宋" w:eastAsia="仿宋" w:cs="Arial"/>
          <w:bCs/>
          <w:kern w:val="36"/>
          <w:sz w:val="28"/>
          <w:szCs w:val="28"/>
        </w:rPr>
      </w:pPr>
    </w:p>
    <w:p>
      <w:pPr>
        <w:rPr>
          <w:rFonts w:hint="eastAsia" w:ascii="仿宋" w:hAnsi="仿宋" w:eastAsia="仿宋" w:cs="Arial"/>
          <w:bCs/>
          <w:color w:val="FF0000"/>
          <w:kern w:val="36"/>
          <w:sz w:val="28"/>
          <w:szCs w:val="28"/>
        </w:rPr>
      </w:pPr>
    </w:p>
    <w:p>
      <w:pPr>
        <w:jc w:val="right"/>
        <w:rPr>
          <w:rFonts w:hint="eastAsia" w:ascii="仿宋" w:hAnsi="仿宋" w:eastAsia="仿宋" w:cs="Arial"/>
          <w:bCs/>
          <w:color w:val="FFFFFF"/>
          <w:kern w:val="36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简">
    <w:altName w:val="Arial Unicode MS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408"/>
    <w:multiLevelType w:val="multilevel"/>
    <w:tmpl w:val="23F9440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9E"/>
    <w:rsid w:val="0034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rFonts w:hint="default" w:ascii="Arial" w:hAnsi="Arial" w:cs="Arial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footer" Target="foot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2019-03-22T06:44:00Z</dcterms:created>
  <dc:creator>Survivor</dc:creator>
  <cp:lastModifiedBy>Survivor</cp:lastModifiedBy>
  <dcterms:modified xsi:type="dcterms:W3CDTF">2019-03-22T06:46:28Z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