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sz w:val="44"/>
          <w:szCs w:val="44"/>
        </w:rPr>
      </w:pPr>
      <w:r>
        <w:rPr>
          <w:rFonts w:eastAsia="方正小标宋简体"/>
          <w:sz w:val="44"/>
          <w:szCs w:val="44"/>
        </w:rPr>
        <w:t>关于做好2021年专业技术人员</w:t>
      </w:r>
    </w:p>
    <w:p>
      <w:pPr>
        <w:spacing w:line="600" w:lineRule="exact"/>
        <w:jc w:val="center"/>
        <w:rPr>
          <w:rFonts w:eastAsia="方正小标宋简体"/>
          <w:sz w:val="44"/>
          <w:szCs w:val="44"/>
        </w:rPr>
      </w:pPr>
      <w:r>
        <w:rPr>
          <w:rFonts w:eastAsia="方正小标宋简体"/>
          <w:sz w:val="44"/>
          <w:szCs w:val="44"/>
        </w:rPr>
        <w:t>继续教育工作的通知</w:t>
      </w:r>
    </w:p>
    <w:p>
      <w:pPr>
        <w:spacing w:line="560" w:lineRule="exact"/>
        <w:rPr>
          <w:rFonts w:eastAsia="仿宋_GB2312"/>
          <w:sz w:val="32"/>
          <w:szCs w:val="32"/>
        </w:rPr>
      </w:pPr>
    </w:p>
    <w:p>
      <w:pPr>
        <w:spacing w:line="560" w:lineRule="exact"/>
        <w:rPr>
          <w:rFonts w:eastAsia="仿宋_GB2312"/>
          <w:sz w:val="32"/>
          <w:szCs w:val="32"/>
        </w:rPr>
      </w:pPr>
      <w:r>
        <w:rPr>
          <w:rFonts w:eastAsia="仿宋_GB2312"/>
          <w:sz w:val="32"/>
          <w:szCs w:val="32"/>
        </w:rPr>
        <w:t>各处室、二级学院、二级法人单位：</w:t>
      </w:r>
    </w:p>
    <w:p>
      <w:pPr>
        <w:spacing w:line="560" w:lineRule="exact"/>
        <w:ind w:firstLine="640" w:firstLineChars="200"/>
        <w:rPr>
          <w:rFonts w:eastAsia="仿宋_GB2312"/>
          <w:sz w:val="32"/>
          <w:szCs w:val="32"/>
        </w:rPr>
      </w:pPr>
      <w:r>
        <w:rPr>
          <w:rFonts w:eastAsia="仿宋_GB2312"/>
          <w:sz w:val="32"/>
          <w:szCs w:val="32"/>
        </w:rPr>
        <w:t>根据省人社厅《关于做好“湘才创新能力提升工程”有关工作的通知》（湘人社函〔2021〕29 号，详见附件1）文件，为做好学校2021年专业技术人员继续教育登记认定工作，通知如下：</w:t>
      </w:r>
    </w:p>
    <w:p>
      <w:pPr>
        <w:spacing w:line="560" w:lineRule="exact"/>
        <w:ind w:firstLine="640" w:firstLineChars="200"/>
        <w:rPr>
          <w:rFonts w:eastAsia="黑体"/>
          <w:sz w:val="32"/>
          <w:szCs w:val="32"/>
        </w:rPr>
      </w:pPr>
      <w:r>
        <w:rPr>
          <w:rFonts w:eastAsia="黑体"/>
          <w:sz w:val="32"/>
          <w:szCs w:val="32"/>
        </w:rPr>
        <w:t>一、登记手册的申领</w:t>
      </w:r>
    </w:p>
    <w:p>
      <w:pPr>
        <w:spacing w:line="560" w:lineRule="exact"/>
        <w:ind w:firstLine="640" w:firstLineChars="200"/>
        <w:rPr>
          <w:rFonts w:eastAsia="仿宋_GB2312"/>
          <w:sz w:val="32"/>
          <w:szCs w:val="32"/>
        </w:rPr>
      </w:pPr>
      <w:r>
        <w:rPr>
          <w:rFonts w:eastAsia="仿宋_GB2312"/>
          <w:sz w:val="32"/>
          <w:szCs w:val="32"/>
        </w:rPr>
        <w:t>各部门中级及以上职称（不含正高职称），个人持有的登记手册已用完或无登记手册，需要申领空白登记手册的专业技术人员，向所在部门提出空白登记手册需求申请，各部门6月1日前汇总填写《湖南安全技术职业学院专技人员继续教育登记手册实名制申领表》（详见附件3）加盖公章后交组织人事处。组织人事处汇总后报告省应急管理厅，由省应急管理厅统一向省人社厅申领空白登记手册，申领回的空白手册由学校人事处统一按申领表下发到人。</w:t>
      </w:r>
    </w:p>
    <w:p>
      <w:pPr>
        <w:spacing w:line="560" w:lineRule="exact"/>
        <w:ind w:firstLine="640" w:firstLineChars="200"/>
        <w:rPr>
          <w:rFonts w:eastAsia="黑体"/>
          <w:sz w:val="32"/>
          <w:szCs w:val="32"/>
        </w:rPr>
      </w:pPr>
      <w:r>
        <w:rPr>
          <w:rFonts w:eastAsia="黑体"/>
          <w:sz w:val="32"/>
          <w:szCs w:val="32"/>
        </w:rPr>
        <w:t>二、开展职称参评人员继续教育学时（分）认定</w:t>
      </w:r>
    </w:p>
    <w:p>
      <w:pPr>
        <w:spacing w:line="560" w:lineRule="exact"/>
        <w:ind w:firstLine="643" w:firstLineChars="200"/>
        <w:rPr>
          <w:rFonts w:eastAsia="仿宋_GB2312"/>
          <w:sz w:val="32"/>
          <w:szCs w:val="32"/>
        </w:rPr>
      </w:pPr>
      <w:r>
        <w:rPr>
          <w:rFonts w:eastAsia="仿宋_GB2312"/>
          <w:b/>
          <w:bCs/>
          <w:sz w:val="32"/>
          <w:szCs w:val="32"/>
        </w:rPr>
        <w:t>1.认定标准与要求：</w:t>
      </w:r>
      <w:r>
        <w:rPr>
          <w:rFonts w:eastAsia="仿宋_GB2312"/>
          <w:sz w:val="32"/>
          <w:szCs w:val="32"/>
        </w:rPr>
        <w:t>2021年参评职称的专业技术人员继续教育学时（分）认定要求和标准仍按照《关于做好2020 年专业技术人员继续教育有关工作的通知》（湘人社函〔2020〕11 号，详见附件2）精神执行。请各参评人认真阅读文件。</w:t>
      </w:r>
    </w:p>
    <w:p>
      <w:pPr>
        <w:spacing w:line="560" w:lineRule="exact"/>
        <w:ind w:firstLine="643" w:firstLineChars="200"/>
        <w:rPr>
          <w:rFonts w:eastAsia="仿宋_GB2312"/>
          <w:sz w:val="32"/>
          <w:szCs w:val="32"/>
        </w:rPr>
      </w:pPr>
      <w:r>
        <w:rPr>
          <w:rFonts w:eastAsia="仿宋_GB2312"/>
          <w:b/>
          <w:bCs/>
          <w:sz w:val="32"/>
          <w:szCs w:val="32"/>
        </w:rPr>
        <w:t>2.登记手册填写：</w:t>
      </w:r>
      <w:r>
        <w:rPr>
          <w:rFonts w:eastAsia="仿宋_GB2312"/>
          <w:sz w:val="32"/>
          <w:szCs w:val="32"/>
        </w:rPr>
        <w:t>请各位参评人员分年度认真填写《湖南省专技人员继续教育登记手册》，确保信息规范完整。</w:t>
      </w:r>
    </w:p>
    <w:p>
      <w:pPr>
        <w:spacing w:line="560" w:lineRule="exact"/>
        <w:ind w:firstLine="643" w:firstLineChars="200"/>
        <w:rPr>
          <w:rFonts w:eastAsia="仿宋_GB2312"/>
          <w:sz w:val="32"/>
          <w:szCs w:val="32"/>
        </w:rPr>
      </w:pPr>
      <w:r>
        <w:rPr>
          <w:rFonts w:eastAsia="仿宋_GB2312"/>
          <w:b/>
          <w:bCs/>
          <w:sz w:val="32"/>
          <w:szCs w:val="32"/>
        </w:rPr>
        <w:t>3.认定时间跨度：</w:t>
      </w:r>
      <w:r>
        <w:rPr>
          <w:rFonts w:eastAsia="仿宋_GB2312"/>
          <w:sz w:val="32"/>
          <w:szCs w:val="32"/>
        </w:rPr>
        <w:t>年度参评高级职称继续教育学时认定跨度为前五年度，参评中级职称跨度为前四个年度。高级、中级均不含参评当年度（如：2021年参评高级需提供2016-2020年认定材料，2021年参评中级需提供2017-2020年认定材料，博士参评副高认定跨度为2019-2020年，硕士参评医学类副高职称继续教育学时认定跨度为2017-2020年</w:t>
      </w:r>
      <w:r>
        <w:rPr>
          <w:rFonts w:eastAsia="仿宋_GB2312"/>
          <w:color w:val="auto"/>
          <w:sz w:val="32"/>
          <w:szCs w:val="32"/>
        </w:rPr>
        <w:t>）。</w:t>
      </w:r>
    </w:p>
    <w:p>
      <w:pPr>
        <w:spacing w:line="560" w:lineRule="exact"/>
        <w:ind w:firstLine="643" w:firstLineChars="200"/>
        <w:rPr>
          <w:rFonts w:eastAsia="仿宋_GB2312"/>
          <w:sz w:val="32"/>
          <w:szCs w:val="32"/>
        </w:rPr>
      </w:pPr>
      <w:r>
        <w:rPr>
          <w:rFonts w:eastAsia="仿宋_GB2312"/>
          <w:b/>
          <w:bCs/>
          <w:sz w:val="32"/>
          <w:szCs w:val="32"/>
        </w:rPr>
        <w:t>4.学分认定：</w:t>
      </w:r>
      <w:r>
        <w:rPr>
          <w:rFonts w:eastAsia="仿宋_GB2312"/>
          <w:sz w:val="32"/>
          <w:szCs w:val="32"/>
        </w:rPr>
        <w:t>请各参评人于6月15日前将专业科目、公需科目认定材料分年度整理后交组织人事处。专科科目由学校按人社厅相关文件要求初审，初审合格名单在学校公示5个工作日。公示结束后组织人事处将专业科目、公需科目认定材料、《登记手册》、专业科目培训初审合格人员公示名单报省应急管理厅复审确认。复审确认后报省人社厅办理核验《学时（分）认定单》。</w:t>
      </w:r>
    </w:p>
    <w:p>
      <w:pPr>
        <w:spacing w:line="560" w:lineRule="exact"/>
        <w:ind w:firstLine="640" w:firstLineChars="200"/>
        <w:rPr>
          <w:rFonts w:eastAsia="仿宋_GB2312"/>
          <w:sz w:val="32"/>
          <w:szCs w:val="32"/>
        </w:rPr>
      </w:pPr>
      <w:r>
        <w:rPr>
          <w:rFonts w:eastAsia="仿宋_GB2312"/>
          <w:sz w:val="32"/>
          <w:szCs w:val="32"/>
        </w:rPr>
        <w:t>专业技术人员继续教育学时（分）认定，是专业技术人员申报职称的重要材料，需相应层级人社部门核验合格核发的认定单才有效。</w:t>
      </w:r>
    </w:p>
    <w:p>
      <w:pPr>
        <w:spacing w:line="560" w:lineRule="exact"/>
        <w:ind w:firstLine="640" w:firstLineChars="200"/>
        <w:rPr>
          <w:rFonts w:eastAsia="仿宋_GB2312"/>
          <w:sz w:val="32"/>
          <w:szCs w:val="32"/>
        </w:rPr>
      </w:pPr>
      <w:r>
        <w:rPr>
          <w:rFonts w:eastAsia="仿宋_GB2312"/>
          <w:sz w:val="32"/>
          <w:szCs w:val="32"/>
        </w:rPr>
        <w:t>专业技术人员继续教育学时（分）认定事关教职工切身利益，各部门务必通知到每位教职工，请大家仔细阅读文件，认真准备，按时提交相关材料，逾期将无法办理。</w:t>
      </w:r>
    </w:p>
    <w:p>
      <w:pPr>
        <w:spacing w:line="560" w:lineRule="exact"/>
        <w:ind w:firstLine="640" w:firstLineChars="200"/>
        <w:rPr>
          <w:rFonts w:eastAsia="仿宋_GB2312"/>
          <w:sz w:val="32"/>
          <w:szCs w:val="32"/>
        </w:rPr>
      </w:pPr>
      <w:r>
        <w:rPr>
          <w:rFonts w:eastAsia="仿宋_GB2312"/>
          <w:sz w:val="32"/>
          <w:szCs w:val="32"/>
        </w:rPr>
        <w:t>联系人：张辉，联系电话：13974862340</w:t>
      </w:r>
    </w:p>
    <w:p>
      <w:pPr>
        <w:spacing w:line="560" w:lineRule="exact"/>
        <w:ind w:firstLine="643" w:firstLineChars="200"/>
        <w:rPr>
          <w:rFonts w:eastAsia="黑体"/>
          <w:b/>
          <w:sz w:val="32"/>
          <w:szCs w:val="32"/>
        </w:rPr>
      </w:pPr>
      <w:r>
        <w:rPr>
          <w:rFonts w:eastAsia="黑体"/>
          <w:b/>
          <w:sz w:val="32"/>
          <w:szCs w:val="32"/>
        </w:rPr>
        <w:t>特别注意：继续教育学时认定直接关系各系列职称评审量化加分，直接关乎教职工个人切身利益，请各单位务必提醒教职工按照本通知及相关附件要求，及时关注组织人事处部门网站、学校QQ工作群等平台信息，按时合规提交相关资料。如未按时合规提交资料，相关后果由教职工个人自行承担。</w:t>
      </w:r>
    </w:p>
    <w:p>
      <w:pPr>
        <w:spacing w:line="560" w:lineRule="exact"/>
        <w:ind w:firstLine="643" w:firstLineChars="200"/>
        <w:rPr>
          <w:rFonts w:eastAsia="黑体"/>
          <w:b/>
          <w:sz w:val="32"/>
          <w:szCs w:val="32"/>
        </w:rPr>
      </w:pPr>
    </w:p>
    <w:p>
      <w:pPr>
        <w:spacing w:line="560" w:lineRule="exact"/>
        <w:ind w:firstLine="640" w:firstLineChars="200"/>
        <w:rPr>
          <w:rFonts w:eastAsia="黑体"/>
          <w:b/>
          <w:sz w:val="32"/>
          <w:szCs w:val="32"/>
        </w:rPr>
      </w:pPr>
      <w:r>
        <w:rPr>
          <w:rFonts w:eastAsia="仿宋_GB2312"/>
          <w:sz w:val="32"/>
          <w:szCs w:val="32"/>
        </w:rPr>
        <w:t>附件：1.关于做好“湘才创新能力提升工程”有关工作的通知</w:t>
      </w:r>
    </w:p>
    <w:p>
      <w:pPr>
        <w:spacing w:line="560" w:lineRule="exact"/>
        <w:ind w:firstLine="1600" w:firstLineChars="500"/>
        <w:rPr>
          <w:rFonts w:eastAsia="仿宋_GB2312"/>
          <w:sz w:val="32"/>
          <w:szCs w:val="32"/>
        </w:rPr>
      </w:pPr>
      <w:r>
        <w:rPr>
          <w:rFonts w:eastAsia="仿宋_GB2312"/>
          <w:sz w:val="32"/>
          <w:szCs w:val="32"/>
        </w:rPr>
        <w:t>2.关于做好2020 年专业技术人员继续教育有关工作</w:t>
      </w:r>
    </w:p>
    <w:p>
      <w:pPr>
        <w:spacing w:line="560" w:lineRule="exact"/>
        <w:ind w:firstLine="1920" w:firstLineChars="600"/>
        <w:rPr>
          <w:rFonts w:eastAsia="黑体"/>
          <w:b/>
          <w:sz w:val="32"/>
          <w:szCs w:val="32"/>
        </w:rPr>
      </w:pPr>
      <w:r>
        <w:rPr>
          <w:rFonts w:eastAsia="仿宋_GB2312"/>
          <w:sz w:val="32"/>
          <w:szCs w:val="32"/>
        </w:rPr>
        <w:t>的通知</w:t>
      </w:r>
    </w:p>
    <w:p>
      <w:pPr>
        <w:spacing w:line="560" w:lineRule="exact"/>
        <w:ind w:firstLine="1600" w:firstLineChars="500"/>
        <w:rPr>
          <w:rFonts w:eastAsia="仿宋_GB2312"/>
          <w:sz w:val="32"/>
          <w:szCs w:val="32"/>
        </w:rPr>
      </w:pPr>
      <w:r>
        <w:rPr>
          <w:rFonts w:eastAsia="仿宋_GB2312"/>
          <w:sz w:val="32"/>
          <w:szCs w:val="32"/>
        </w:rPr>
        <w:t>3.湖南安全技术职业学院专技人员继续教育登记手</w:t>
      </w:r>
    </w:p>
    <w:p>
      <w:pPr>
        <w:spacing w:line="560" w:lineRule="exact"/>
        <w:ind w:firstLine="1920" w:firstLineChars="600"/>
        <w:rPr>
          <w:rFonts w:eastAsia="黑体"/>
          <w:b/>
          <w:sz w:val="32"/>
          <w:szCs w:val="32"/>
        </w:rPr>
      </w:pPr>
      <w:r>
        <w:rPr>
          <w:rFonts w:eastAsia="仿宋_GB2312"/>
          <w:sz w:val="32"/>
          <w:szCs w:val="32"/>
        </w:rPr>
        <w:t>册实名制申领表</w:t>
      </w:r>
    </w:p>
    <w:p>
      <w:pPr>
        <w:spacing w:line="560" w:lineRule="exact"/>
        <w:ind w:firstLine="200"/>
        <w:rPr>
          <w:rFonts w:eastAsia="仿宋_GB2312"/>
          <w:sz w:val="32"/>
          <w:szCs w:val="32"/>
        </w:rPr>
      </w:pPr>
    </w:p>
    <w:p>
      <w:pPr>
        <w:spacing w:line="560" w:lineRule="exact"/>
        <w:ind w:firstLine="200"/>
        <w:rPr>
          <w:rFonts w:eastAsia="仿宋_GB2312"/>
          <w:sz w:val="32"/>
          <w:szCs w:val="32"/>
        </w:rPr>
      </w:pPr>
    </w:p>
    <w:p>
      <w:pPr>
        <w:spacing w:line="560" w:lineRule="exact"/>
        <w:ind w:firstLine="200"/>
        <w:rPr>
          <w:rFonts w:eastAsia="仿宋_GB2312"/>
          <w:sz w:val="32"/>
          <w:szCs w:val="32"/>
        </w:rPr>
      </w:pPr>
    </w:p>
    <w:p>
      <w:pPr>
        <w:spacing w:line="560" w:lineRule="exact"/>
        <w:ind w:firstLine="6080" w:firstLineChars="1900"/>
        <w:rPr>
          <w:rFonts w:eastAsia="仿宋_GB2312"/>
          <w:sz w:val="32"/>
          <w:szCs w:val="32"/>
        </w:rPr>
      </w:pPr>
      <w:r>
        <w:rPr>
          <w:rFonts w:eastAsia="仿宋_GB2312"/>
          <w:sz w:val="32"/>
          <w:szCs w:val="32"/>
        </w:rPr>
        <w:t>组织人事处</w:t>
      </w:r>
    </w:p>
    <w:p>
      <w:pPr>
        <w:spacing w:line="560" w:lineRule="exact"/>
        <w:ind w:firstLine="5760" w:firstLineChars="1800"/>
        <w:rPr>
          <w:rFonts w:eastAsia="仿宋_GB2312"/>
          <w:sz w:val="32"/>
          <w:szCs w:val="32"/>
        </w:rPr>
      </w:pPr>
      <w:r>
        <w:rPr>
          <w:rFonts w:eastAsia="仿宋_GB2312"/>
          <w:sz w:val="32"/>
          <w:szCs w:val="32"/>
        </w:rPr>
        <w:t>2021年4月13日</w:t>
      </w:r>
    </w:p>
    <w:p>
      <w:pPr>
        <w:widowControl/>
        <w:spacing w:line="560" w:lineRule="exact"/>
        <w:jc w:val="left"/>
        <w:rPr>
          <w:rFonts w:eastAsia="仿宋_GB2312"/>
          <w:sz w:val="32"/>
          <w:szCs w:val="32"/>
        </w:rPr>
      </w:pPr>
      <w:r>
        <w:rPr>
          <w:rFonts w:eastAsia="仿宋_GB2312"/>
          <w:sz w:val="32"/>
          <w:szCs w:val="32"/>
        </w:rPr>
        <w:br w:type="page"/>
      </w:r>
    </w:p>
    <w:p>
      <w:pPr>
        <w:widowControl/>
        <w:spacing w:afterLines="100" w:line="560" w:lineRule="exact"/>
        <w:jc w:val="left"/>
        <w:rPr>
          <w:rFonts w:eastAsia="黑体"/>
          <w:sz w:val="32"/>
          <w:szCs w:val="32"/>
        </w:rPr>
      </w:pPr>
      <w:r>
        <w:rPr>
          <w:rFonts w:eastAsia="黑体"/>
          <w:sz w:val="32"/>
          <w:szCs w:val="32"/>
        </w:rPr>
        <w:t>附件1</w:t>
      </w:r>
    </w:p>
    <w:p>
      <w:pPr>
        <w:widowControl/>
        <w:spacing w:line="600" w:lineRule="exact"/>
        <w:jc w:val="center"/>
        <w:rPr>
          <w:rFonts w:eastAsia="方正小标宋简体"/>
          <w:color w:val="000000"/>
          <w:kern w:val="0"/>
          <w:sz w:val="44"/>
          <w:szCs w:val="38"/>
        </w:rPr>
      </w:pPr>
      <w:r>
        <w:rPr>
          <w:rFonts w:eastAsia="方正小标宋简体"/>
          <w:color w:val="000000"/>
          <w:kern w:val="0"/>
          <w:sz w:val="44"/>
          <w:szCs w:val="38"/>
        </w:rPr>
        <w:t>关于做好</w:t>
      </w:r>
      <w:r>
        <w:rPr>
          <w:rFonts w:hint="eastAsia" w:eastAsia="方正小标宋简体"/>
          <w:color w:val="000000"/>
          <w:kern w:val="0"/>
          <w:sz w:val="44"/>
          <w:szCs w:val="38"/>
        </w:rPr>
        <w:t>“</w:t>
      </w:r>
      <w:r>
        <w:rPr>
          <w:rFonts w:eastAsia="方正小标宋简体"/>
          <w:color w:val="000000"/>
          <w:kern w:val="0"/>
          <w:sz w:val="44"/>
          <w:szCs w:val="38"/>
        </w:rPr>
        <w:t>湘才创新能力提升工程</w:t>
      </w:r>
      <w:r>
        <w:rPr>
          <w:rFonts w:hint="eastAsia" w:eastAsia="方正小标宋简体"/>
          <w:color w:val="000000"/>
          <w:kern w:val="0"/>
          <w:sz w:val="44"/>
          <w:szCs w:val="38"/>
        </w:rPr>
        <w:t>”</w:t>
      </w:r>
    </w:p>
    <w:p>
      <w:pPr>
        <w:widowControl/>
        <w:spacing w:line="600" w:lineRule="exact"/>
        <w:jc w:val="center"/>
        <w:rPr>
          <w:rFonts w:eastAsia="方正小标宋简体"/>
          <w:color w:val="000000"/>
          <w:kern w:val="0"/>
          <w:sz w:val="44"/>
          <w:szCs w:val="38"/>
        </w:rPr>
      </w:pPr>
      <w:r>
        <w:rPr>
          <w:rFonts w:eastAsia="方正小标宋简体"/>
          <w:color w:val="000000"/>
          <w:kern w:val="0"/>
          <w:sz w:val="44"/>
          <w:szCs w:val="38"/>
        </w:rPr>
        <w:t>有关工作的通知</w:t>
      </w:r>
    </w:p>
    <w:p>
      <w:pPr>
        <w:widowControl/>
        <w:spacing w:beforeLines="50" w:afterLines="100" w:line="560" w:lineRule="exact"/>
        <w:jc w:val="center"/>
        <w:rPr>
          <w:rFonts w:eastAsia="仿宋_GB2312"/>
        </w:rPr>
      </w:pPr>
      <w:r>
        <w:rPr>
          <w:rFonts w:eastAsia="仿宋_GB2312"/>
          <w:color w:val="000000"/>
          <w:kern w:val="0"/>
          <w:sz w:val="31"/>
          <w:szCs w:val="31"/>
        </w:rPr>
        <w:t>（湘人社函〔2021〕29号）</w:t>
      </w:r>
    </w:p>
    <w:p>
      <w:pPr>
        <w:widowControl/>
        <w:spacing w:line="560" w:lineRule="exact"/>
        <w:jc w:val="left"/>
        <w:rPr>
          <w:rFonts w:eastAsia="仿宋_GB2312"/>
          <w:sz w:val="32"/>
          <w:szCs w:val="32"/>
        </w:rPr>
      </w:pPr>
      <w:r>
        <w:rPr>
          <w:rFonts w:eastAsia="仿宋_GB2312"/>
          <w:color w:val="000000"/>
          <w:kern w:val="0"/>
          <w:sz w:val="32"/>
          <w:szCs w:val="32"/>
        </w:rPr>
        <w:t xml:space="preserve">各市州人力资源和社会保障局，省直和中央在湘有关单位： </w:t>
      </w:r>
    </w:p>
    <w:p>
      <w:pPr>
        <w:widowControl/>
        <w:spacing w:line="560" w:lineRule="exact"/>
        <w:ind w:firstLine="640" w:firstLineChars="200"/>
        <w:jc w:val="left"/>
        <w:rPr>
          <w:rFonts w:eastAsia="仿宋_GB2312"/>
          <w:sz w:val="32"/>
          <w:szCs w:val="32"/>
        </w:rPr>
      </w:pPr>
      <w:r>
        <w:rPr>
          <w:rFonts w:eastAsia="仿宋_GB2312"/>
          <w:color w:val="000000"/>
          <w:kern w:val="0"/>
          <w:sz w:val="32"/>
          <w:szCs w:val="32"/>
        </w:rPr>
        <w:t xml:space="preserve">根据中央、省委关于坚持创新引领、激发人才创新活力的有 </w:t>
      </w:r>
    </w:p>
    <w:p>
      <w:pPr>
        <w:widowControl/>
        <w:spacing w:line="560" w:lineRule="exact"/>
        <w:jc w:val="left"/>
        <w:rPr>
          <w:rFonts w:eastAsia="仿宋_GB2312"/>
          <w:sz w:val="32"/>
          <w:szCs w:val="32"/>
        </w:rPr>
      </w:pPr>
      <w:r>
        <w:rPr>
          <w:rFonts w:eastAsia="仿宋_GB2312"/>
          <w:color w:val="000000"/>
          <w:kern w:val="0"/>
          <w:sz w:val="32"/>
          <w:szCs w:val="32"/>
        </w:rPr>
        <w:t xml:space="preserve">关要求，为进一步做好专业技术人才培养培训，提升专技人才创 </w:t>
      </w:r>
    </w:p>
    <w:p>
      <w:pPr>
        <w:widowControl/>
        <w:spacing w:line="560" w:lineRule="exact"/>
        <w:jc w:val="left"/>
        <w:rPr>
          <w:rFonts w:eastAsia="仿宋_GB2312"/>
          <w:sz w:val="32"/>
          <w:szCs w:val="32"/>
        </w:rPr>
      </w:pPr>
      <w:r>
        <w:rPr>
          <w:rFonts w:eastAsia="仿宋_GB2312"/>
          <w:color w:val="000000"/>
          <w:kern w:val="0"/>
          <w:sz w:val="32"/>
          <w:szCs w:val="32"/>
        </w:rPr>
        <w:t xml:space="preserve">新能力，从2021年起实施“湘才创新能力提升工程”。包括专业技术人员知识更新工程和继续教育工作。现将有关事项通知如下： </w:t>
      </w:r>
    </w:p>
    <w:p>
      <w:pPr>
        <w:widowControl/>
        <w:spacing w:line="560" w:lineRule="exact"/>
        <w:ind w:firstLine="640" w:firstLineChars="200"/>
        <w:jc w:val="left"/>
        <w:rPr>
          <w:rFonts w:eastAsia="黑体"/>
          <w:sz w:val="32"/>
          <w:szCs w:val="32"/>
        </w:rPr>
      </w:pPr>
      <w:r>
        <w:rPr>
          <w:rFonts w:eastAsia="黑体"/>
          <w:color w:val="000000"/>
          <w:kern w:val="0"/>
          <w:sz w:val="32"/>
          <w:szCs w:val="32"/>
        </w:rPr>
        <w:t xml:space="preserve">一、实施专业技术人员知识更新工程 </w:t>
      </w:r>
    </w:p>
    <w:p>
      <w:pPr>
        <w:widowControl/>
        <w:spacing w:line="560" w:lineRule="exact"/>
        <w:ind w:firstLine="640" w:firstLineChars="200"/>
        <w:jc w:val="left"/>
        <w:rPr>
          <w:rFonts w:eastAsia="仿宋_GB2312"/>
          <w:sz w:val="32"/>
          <w:szCs w:val="32"/>
        </w:rPr>
      </w:pPr>
      <w:r>
        <w:rPr>
          <w:rFonts w:eastAsia="华文楷体"/>
          <w:color w:val="000000"/>
          <w:kern w:val="0"/>
          <w:sz w:val="32"/>
          <w:szCs w:val="32"/>
        </w:rPr>
        <w:t>（一）国家级高级研修项目。</w:t>
      </w:r>
      <w:r>
        <w:rPr>
          <w:rFonts w:eastAsia="仿宋_GB2312"/>
          <w:color w:val="000000"/>
          <w:kern w:val="0"/>
          <w:sz w:val="32"/>
          <w:szCs w:val="32"/>
        </w:rPr>
        <w:t>项目由人社部组织实施，由人社部向全国征集项目，经遴选给予一定经费资助，对全国专业技术人员进行调训。</w:t>
      </w:r>
    </w:p>
    <w:p>
      <w:pPr>
        <w:widowControl/>
        <w:spacing w:line="560" w:lineRule="exact"/>
        <w:ind w:firstLine="640" w:firstLineChars="200"/>
        <w:jc w:val="left"/>
        <w:rPr>
          <w:rFonts w:eastAsia="仿宋_GB2312"/>
          <w:sz w:val="32"/>
          <w:szCs w:val="32"/>
        </w:rPr>
      </w:pPr>
      <w:r>
        <w:rPr>
          <w:rFonts w:eastAsia="仿宋_GB2312"/>
          <w:color w:val="000000"/>
          <w:kern w:val="0"/>
          <w:sz w:val="32"/>
          <w:szCs w:val="32"/>
        </w:rPr>
        <w:t>项目申报。需重点围绕装备制造、信息技术、新材料等重点领域，服务创新驱动发展、乡村振兴、可持续发展等国家重大战略，服务建设制造强国、质量强国、网络强国、数字中国等新兴产业发展。按照高水平、小规模、重特色的要求，申报单位需人才队伍雄厚，拥有权威专家授课，精心设置培训课程，采用多种方式进行研修。</w:t>
      </w:r>
    </w:p>
    <w:p>
      <w:pPr>
        <w:widowControl/>
        <w:spacing w:line="560" w:lineRule="exact"/>
        <w:ind w:firstLine="640" w:firstLineChars="200"/>
        <w:jc w:val="left"/>
        <w:rPr>
          <w:rFonts w:eastAsia="仿宋_GB2312"/>
          <w:sz w:val="32"/>
          <w:szCs w:val="32"/>
        </w:rPr>
      </w:pPr>
      <w:r>
        <w:rPr>
          <w:rFonts w:eastAsia="仿宋_GB2312"/>
          <w:color w:val="000000"/>
          <w:kern w:val="0"/>
          <w:sz w:val="32"/>
          <w:szCs w:val="32"/>
        </w:rPr>
        <w:t>2021年国家级高级研修项目按照《人社部办公厅关于征集专业技术人才知识更新工程2021年高级研修项目选题的通知》（人社厅函〔2021〕2号）要求申报。</w:t>
      </w:r>
    </w:p>
    <w:p>
      <w:pPr>
        <w:widowControl/>
        <w:spacing w:line="560" w:lineRule="exact"/>
        <w:ind w:firstLine="640" w:firstLineChars="200"/>
        <w:jc w:val="left"/>
        <w:rPr>
          <w:rFonts w:eastAsia="仿宋_GB2312"/>
          <w:sz w:val="32"/>
          <w:szCs w:val="32"/>
        </w:rPr>
      </w:pPr>
      <w:r>
        <w:rPr>
          <w:rFonts w:eastAsia="华文楷体"/>
          <w:color w:val="000000"/>
          <w:kern w:val="0"/>
          <w:sz w:val="32"/>
          <w:szCs w:val="32"/>
        </w:rPr>
        <w:t>（二）省级高级研修班。</w:t>
      </w:r>
      <w:r>
        <w:rPr>
          <w:rFonts w:eastAsia="仿宋_GB2312"/>
          <w:color w:val="000000"/>
          <w:kern w:val="0"/>
          <w:sz w:val="32"/>
          <w:szCs w:val="32"/>
        </w:rPr>
        <w:t>省级高级研修班是围绕我省重大战略、重点领域、新兴优势产业、特色优势产业，以及省委省政府、省级议事协调机构特定任务要求，为提升相关行业领域专技人才创新能力遴选主题开展的研修培训，是我省人力资源培养开发项目（专业技术类）的重要内容。参训人员为全省高级专业技术职称人员或专业技术工作管理人员，每个研修班参训人员不少于50人，培训时间不少于5天，每年高级研修班为15个左右，由省直单位和市州根据每年培训主题完成申报。</w:t>
      </w:r>
    </w:p>
    <w:p>
      <w:pPr>
        <w:widowControl/>
        <w:spacing w:line="560" w:lineRule="exact"/>
        <w:ind w:firstLine="640" w:firstLineChars="200"/>
        <w:jc w:val="left"/>
        <w:rPr>
          <w:rFonts w:eastAsia="仿宋_GB2312"/>
          <w:sz w:val="32"/>
          <w:szCs w:val="32"/>
        </w:rPr>
      </w:pPr>
      <w:r>
        <w:rPr>
          <w:rFonts w:eastAsia="华文楷体"/>
          <w:color w:val="000000"/>
          <w:kern w:val="0"/>
          <w:sz w:val="32"/>
          <w:szCs w:val="32"/>
        </w:rPr>
        <w:t>（三）高端创新人才出国（境）学术交流项目。</w:t>
      </w:r>
      <w:r>
        <w:rPr>
          <w:rFonts w:eastAsia="仿宋_GB2312"/>
          <w:color w:val="000000"/>
          <w:kern w:val="0"/>
          <w:sz w:val="32"/>
          <w:szCs w:val="32"/>
        </w:rPr>
        <w:t>资助名额10名左右，每人5万元。资助对象为高层次专业技术人才，重点资助政府特殊津贴专家、“国家百千万人才工程”人选、“湖南省新世纪121人才工程”第一、二层次人选（以第一层次人选为主，适当考虑第二层次人选）、湖南省优秀专家等。</w:t>
      </w:r>
    </w:p>
    <w:p>
      <w:pPr>
        <w:widowControl/>
        <w:spacing w:line="560" w:lineRule="exact"/>
        <w:ind w:firstLine="640" w:firstLineChars="200"/>
        <w:jc w:val="left"/>
        <w:rPr>
          <w:rFonts w:eastAsia="仿宋_GB2312"/>
          <w:sz w:val="32"/>
          <w:szCs w:val="32"/>
        </w:rPr>
      </w:pPr>
      <w:r>
        <w:rPr>
          <w:rFonts w:eastAsia="仿宋_GB2312"/>
          <w:color w:val="000000"/>
          <w:kern w:val="0"/>
          <w:sz w:val="32"/>
          <w:szCs w:val="32"/>
        </w:rPr>
        <w:t>申报高层次急需紧缺人才出国（境）学术交流资助的，境外时间一般应为2个月左右，所选培训专业学科须符合我省经济社会发展和重点产业领域建设的要求，能促进专业技术人员获取掌握国外最先进的理论技术等，有助于提高专业技术人员自主创新能力。</w:t>
      </w:r>
    </w:p>
    <w:p>
      <w:pPr>
        <w:widowControl/>
        <w:spacing w:line="560" w:lineRule="exact"/>
        <w:ind w:firstLine="640" w:firstLineChars="200"/>
        <w:jc w:val="left"/>
        <w:rPr>
          <w:rFonts w:eastAsia="仿宋_GB2312"/>
          <w:sz w:val="32"/>
          <w:szCs w:val="32"/>
        </w:rPr>
      </w:pPr>
      <w:r>
        <w:rPr>
          <w:rFonts w:eastAsia="华文楷体"/>
          <w:color w:val="000000"/>
          <w:kern w:val="0"/>
          <w:sz w:val="32"/>
          <w:szCs w:val="32"/>
        </w:rPr>
        <w:t>（四）新职业培训。</w:t>
      </w:r>
      <w:r>
        <w:rPr>
          <w:rFonts w:eastAsia="仿宋_GB2312"/>
          <w:color w:val="000000"/>
          <w:kern w:val="0"/>
          <w:sz w:val="32"/>
          <w:szCs w:val="32"/>
        </w:rPr>
        <w:t>服务人工智能、物联网、大数据、云计算、智能制造、工业互联网、虚拟现实、区块链、数字化管理等新职业技术领域，以更新知识、掌握先进技术、提升专业技术水平为主要内容，实施新职业短期培训项目，提升新职业领域从业人员专业技术水平。</w:t>
      </w:r>
    </w:p>
    <w:p>
      <w:pPr>
        <w:widowControl/>
        <w:spacing w:line="560" w:lineRule="exact"/>
        <w:ind w:firstLine="640" w:firstLineChars="200"/>
        <w:jc w:val="left"/>
        <w:rPr>
          <w:rFonts w:eastAsia="仿宋_GB2312"/>
          <w:sz w:val="32"/>
          <w:szCs w:val="32"/>
        </w:rPr>
      </w:pPr>
      <w:r>
        <w:rPr>
          <w:rFonts w:eastAsia="仿宋_GB2312"/>
          <w:color w:val="000000"/>
          <w:kern w:val="0"/>
          <w:sz w:val="32"/>
          <w:szCs w:val="32"/>
        </w:rPr>
        <w:t>以上项目的实施，项目承办单位需在实施前做好详细的项目实施计划，由省人社厅审核并发项目实施通知。项目面向全国、全省招收学员，学员一般应是具有中高级专业技术职务（职称）的专业技术人员，或在管理岗位工作的经营管理人才，并基层一线人才倾斜。</w:t>
      </w:r>
    </w:p>
    <w:p>
      <w:pPr>
        <w:widowControl/>
        <w:spacing w:line="560" w:lineRule="exact"/>
        <w:ind w:firstLine="640" w:firstLineChars="200"/>
        <w:jc w:val="left"/>
        <w:rPr>
          <w:rFonts w:eastAsia="仿宋_GB2312"/>
          <w:sz w:val="32"/>
          <w:szCs w:val="32"/>
        </w:rPr>
      </w:pPr>
      <w:r>
        <w:rPr>
          <w:rFonts w:eastAsia="黑体"/>
          <w:color w:val="000000"/>
          <w:kern w:val="0"/>
          <w:sz w:val="32"/>
          <w:szCs w:val="32"/>
        </w:rPr>
        <w:t>二、改革完善继续教育工作</w:t>
      </w:r>
    </w:p>
    <w:p>
      <w:pPr>
        <w:widowControl/>
        <w:spacing w:line="560" w:lineRule="exact"/>
        <w:ind w:firstLine="640" w:firstLineChars="200"/>
        <w:jc w:val="left"/>
        <w:rPr>
          <w:rFonts w:eastAsia="仿宋_GB2312"/>
          <w:sz w:val="32"/>
          <w:szCs w:val="32"/>
        </w:rPr>
      </w:pPr>
      <w:r>
        <w:rPr>
          <w:rFonts w:eastAsia="华文楷体"/>
          <w:color w:val="000000"/>
          <w:kern w:val="0"/>
          <w:sz w:val="32"/>
          <w:szCs w:val="32"/>
        </w:rPr>
        <w:t>（一）基地建设。</w:t>
      </w:r>
      <w:r>
        <w:rPr>
          <w:rFonts w:eastAsia="仿宋_GB2312"/>
          <w:color w:val="000000"/>
          <w:kern w:val="0"/>
          <w:sz w:val="32"/>
          <w:szCs w:val="32"/>
        </w:rPr>
        <w:t>继续教育基地是经人社部门认定，对专业技术人员进行继续教育，补充、更新、拓展专业知识，完善知识结构，提高综合素质，增强创新能力，培养培训高层次、急需紧缺、新职业领域等专技人才的服务平台。</w:t>
      </w:r>
    </w:p>
    <w:p>
      <w:pPr>
        <w:widowControl/>
        <w:spacing w:line="560" w:lineRule="exact"/>
        <w:ind w:firstLine="640" w:firstLineChars="200"/>
        <w:jc w:val="left"/>
        <w:rPr>
          <w:rFonts w:eastAsia="仿宋_GB2312"/>
          <w:sz w:val="32"/>
          <w:szCs w:val="32"/>
        </w:rPr>
      </w:pPr>
      <w:r>
        <w:rPr>
          <w:rFonts w:eastAsia="仿宋_GB2312"/>
          <w:color w:val="000000"/>
          <w:kern w:val="0"/>
          <w:sz w:val="32"/>
          <w:szCs w:val="32"/>
        </w:rPr>
        <w:t>继续教育基地分为国家级继续教育基地和省级继续教育基</w:t>
      </w:r>
    </w:p>
    <w:p>
      <w:pPr>
        <w:widowControl/>
        <w:spacing w:line="560" w:lineRule="exact"/>
        <w:jc w:val="left"/>
        <w:rPr>
          <w:rFonts w:eastAsia="仿宋_GB2312"/>
          <w:color w:val="000000"/>
          <w:kern w:val="0"/>
          <w:sz w:val="32"/>
          <w:szCs w:val="32"/>
        </w:rPr>
      </w:pPr>
      <w:r>
        <w:rPr>
          <w:rFonts w:eastAsia="仿宋_GB2312"/>
          <w:color w:val="000000"/>
          <w:kern w:val="0"/>
          <w:sz w:val="32"/>
          <w:szCs w:val="32"/>
        </w:rPr>
        <w:t>地。省级继续教育基地按照“优化布局、示范引领、突出特色、动态调整”的原则，根据全省重要区域、行业，重点产业、领域发展需要，实行分批设立和分层管理，未来将继续做好后续批次省级继续教育基地认定工作，并择优申报国家级继续教育基地。继续教育基地管理工作按照《湖南省省级专业技术人员继续教育基地管理办法》（湘人社发〔2017〕91号）实施。2021年启动5家省级继续教育基地认定工作，具体安排另行通知。</w:t>
      </w:r>
    </w:p>
    <w:p>
      <w:pPr>
        <w:widowControl/>
        <w:spacing w:line="560" w:lineRule="exact"/>
        <w:ind w:firstLine="640" w:firstLineChars="200"/>
        <w:jc w:val="left"/>
        <w:rPr>
          <w:rFonts w:eastAsia="仿宋_GB2312"/>
          <w:sz w:val="32"/>
          <w:szCs w:val="32"/>
        </w:rPr>
      </w:pPr>
      <w:r>
        <w:rPr>
          <w:rFonts w:eastAsia="华文楷体"/>
          <w:color w:val="000000"/>
          <w:kern w:val="0"/>
          <w:sz w:val="32"/>
          <w:szCs w:val="32"/>
        </w:rPr>
        <w:t>（二）继续教育培训。</w:t>
      </w:r>
      <w:r>
        <w:rPr>
          <w:rFonts w:eastAsia="仿宋_GB2312"/>
          <w:color w:val="000000"/>
          <w:kern w:val="0"/>
          <w:sz w:val="32"/>
          <w:szCs w:val="32"/>
        </w:rPr>
        <w:t>根据《专业技术人员继续教育规定》（人社部令第25号），全省专业技术人员应当适应岗位需要和职业发展要求，积极参加继续教育，完善知识结构、增强创新能力、提高专业水平。</w:t>
      </w:r>
    </w:p>
    <w:p>
      <w:pPr>
        <w:widowControl/>
        <w:spacing w:line="560" w:lineRule="exact"/>
        <w:ind w:firstLine="640" w:firstLineChars="200"/>
        <w:jc w:val="left"/>
        <w:rPr>
          <w:rFonts w:eastAsia="仿宋_GB2312"/>
          <w:sz w:val="32"/>
          <w:szCs w:val="32"/>
        </w:rPr>
      </w:pPr>
      <w:r>
        <w:rPr>
          <w:rFonts w:eastAsia="仿宋_GB2312"/>
          <w:color w:val="000000"/>
          <w:kern w:val="0"/>
          <w:sz w:val="32"/>
          <w:szCs w:val="32"/>
        </w:rPr>
        <w:t>1.继续教育。分为公需科目和专业科目。2021年公需科目主题为“专业技术人员在现代化新湖南建设中的担当作为。”专业科目包括从事专业工作应当掌握的新理论、新知识、新技术、新方法等专业知识，由各省级行业主管部门制定学习指南、确定科目内容。</w:t>
      </w:r>
    </w:p>
    <w:p>
      <w:pPr>
        <w:widowControl/>
        <w:spacing w:line="560" w:lineRule="exact"/>
        <w:ind w:firstLine="640" w:firstLineChars="200"/>
        <w:jc w:val="left"/>
        <w:rPr>
          <w:rFonts w:eastAsia="仿宋_GB2312"/>
          <w:sz w:val="32"/>
          <w:szCs w:val="32"/>
        </w:rPr>
      </w:pPr>
      <w:r>
        <w:rPr>
          <w:rFonts w:eastAsia="仿宋_GB2312"/>
          <w:color w:val="000000"/>
          <w:kern w:val="0"/>
          <w:sz w:val="32"/>
          <w:szCs w:val="32"/>
        </w:rPr>
        <w:t>2.继续教育年度登记。全省专业技术人员继续教育实行证书年度登记制度。省直单位专业技术人员继续教育年度登记工作由本单位负责。本单位取得中级职称及以上人员的《湖南省专业技术人员继续教育登记证书》（以下简称《登记证书》），由单位汇总填写《湖南省专业技术人员继续教育登记证书实名制领取表》后，统一到省人社厅专技处免费领取。专业技术人员要按年度认真填写《登记证书》，确保信息规范完整；施教机构要如实记录专业技术人员参加继续教育的内容、时间、考核结果等信息；省直单位要对《登记证书》记载内容审核确认。网络在线学习电子证书与《登记证书》具有相同效力，其学时可不用记入《登记证书》。电子证书的真实性由施教机构负全部责任。</w:t>
      </w:r>
    </w:p>
    <w:p>
      <w:pPr>
        <w:widowControl/>
        <w:spacing w:line="560" w:lineRule="exact"/>
        <w:ind w:firstLine="640" w:firstLineChars="200"/>
        <w:jc w:val="left"/>
        <w:rPr>
          <w:rFonts w:eastAsia="仿宋_GB2312"/>
          <w:sz w:val="32"/>
          <w:szCs w:val="32"/>
        </w:rPr>
      </w:pPr>
      <w:r>
        <w:rPr>
          <w:rFonts w:eastAsia="仿宋_GB2312"/>
          <w:color w:val="000000"/>
          <w:kern w:val="0"/>
          <w:sz w:val="32"/>
          <w:szCs w:val="32"/>
        </w:rPr>
        <w:t>各市州继续教育登记工作，由市州人力资源和社会保障部门按照有关规定组织实施。</w:t>
      </w:r>
    </w:p>
    <w:p>
      <w:pPr>
        <w:widowControl/>
        <w:spacing w:line="560" w:lineRule="exact"/>
        <w:ind w:firstLine="640" w:firstLineChars="200"/>
        <w:rPr>
          <w:rFonts w:eastAsia="仿宋_GB2312"/>
          <w:sz w:val="32"/>
          <w:szCs w:val="32"/>
        </w:rPr>
      </w:pPr>
      <w:r>
        <w:rPr>
          <w:rFonts w:eastAsia="仿宋_GB2312"/>
          <w:color w:val="000000"/>
          <w:kern w:val="0"/>
          <w:sz w:val="32"/>
          <w:szCs w:val="32"/>
        </w:rPr>
        <w:t>3.职称参评人员继续教育学时认定。专业技术人员继续教育学习每年累计不少于90学时（每学时不低于45分钟），其中，公需科目不少于30学时，专业科目不少于60学时，公需科目和专业科目必须同时达标方视为完成年度继续教育学时要求，开具全省统一的《湖南省专业技术人员继续教育学时认定单》（以下简称《学时认定单》）。各职称系列、各自评单位在高级职称评审（聘）时，核实《学时认定单》，作为聘任专业技术职务或申报评定上一级资格的重要条件。年度参评高级职称继续教育学时认定跨度为前五年度，不含参评当年度（如：2021年参评需提供 2016-2020年，博士参评副高认定跨度为2019-2020年，硕士参评医学类副高职称继续教育学时认定跨度为2017-2020年）。</w:t>
      </w:r>
    </w:p>
    <w:p>
      <w:pPr>
        <w:widowControl/>
        <w:spacing w:line="560" w:lineRule="exact"/>
        <w:ind w:firstLine="640" w:firstLineChars="200"/>
        <w:jc w:val="left"/>
        <w:rPr>
          <w:rFonts w:eastAsia="仿宋_GB2312"/>
          <w:sz w:val="32"/>
          <w:szCs w:val="32"/>
        </w:rPr>
      </w:pPr>
      <w:r>
        <w:rPr>
          <w:rFonts w:eastAsia="仿宋_GB2312"/>
          <w:color w:val="000000"/>
          <w:kern w:val="0"/>
          <w:sz w:val="32"/>
          <w:szCs w:val="32"/>
        </w:rPr>
        <w:t>（1）省直单位高级职称申报人员学时认定。专业科目培训情况由用人单位初审，合格人员名单在本单位公示不少于5个工作日，再由省直主管部门复审确认。省直主管部门收集汇总参评高级职称人员的《登记证书》、公需科目培训材料、专业科目培训合格人员公示名单，于每年7月1日至8月31日到省人社厅专技处统一核验办理《学时认定单》。原则上不接受部门下属单位和个人办理。省直单位初中级职称专业技术人员继续教育登记、学时认定等由省直主管部门按相关规定自行组织实施。</w:t>
      </w:r>
    </w:p>
    <w:p>
      <w:pPr>
        <w:widowControl/>
        <w:spacing w:line="560" w:lineRule="exact"/>
        <w:ind w:firstLine="640" w:firstLineChars="200"/>
        <w:jc w:val="left"/>
        <w:rPr>
          <w:rFonts w:eastAsia="仿宋_GB2312"/>
          <w:sz w:val="32"/>
          <w:szCs w:val="32"/>
        </w:rPr>
      </w:pPr>
      <w:r>
        <w:rPr>
          <w:rFonts w:eastAsia="仿宋_GB2312"/>
          <w:color w:val="000000"/>
          <w:kern w:val="0"/>
          <w:sz w:val="32"/>
          <w:szCs w:val="32"/>
        </w:rPr>
        <w:t xml:space="preserve">（2）下放具有职称自评权的高校继续教育学时认定权限。各自评高校依据《专业技术人员继续教育规定》和相关要求自主开展本单位继续教育登记和学时认定，并对整个工作的真实性、规范性和严肃性负全部责任。各高校继续教育学时审核完成并在校园网进行公示，提供公示截图（含姓名、专业公需科目每年度学习详细情况）与合格人员名单，加盖公章后，到省人社厅专技处按合格人数统一领取《学时认定单》。《学时认定单》存根留存省人社厅专技处备查。中初级学时认定按相关规定自行组织实施。 </w:t>
      </w:r>
    </w:p>
    <w:p>
      <w:pPr>
        <w:widowControl/>
        <w:spacing w:line="560" w:lineRule="exact"/>
        <w:ind w:firstLine="640" w:firstLineChars="200"/>
        <w:jc w:val="left"/>
        <w:rPr>
          <w:rFonts w:eastAsia="仿宋_GB2312"/>
          <w:sz w:val="32"/>
          <w:szCs w:val="32"/>
        </w:rPr>
      </w:pPr>
      <w:r>
        <w:rPr>
          <w:rFonts w:eastAsia="仿宋_GB2312"/>
          <w:color w:val="000000"/>
          <w:kern w:val="0"/>
          <w:sz w:val="32"/>
          <w:szCs w:val="32"/>
        </w:rPr>
        <w:t>（3）市州学时认定。市州参评职称专业技术人员的继续教育学时认定，由市州人社部门按相关规定组织实施，其中高级职称继续教育学时认定使用统一的《学时认定单》。</w:t>
      </w:r>
    </w:p>
    <w:p>
      <w:pPr>
        <w:widowControl/>
        <w:spacing w:line="560" w:lineRule="exact"/>
        <w:ind w:firstLine="640" w:firstLineChars="200"/>
        <w:jc w:val="left"/>
        <w:rPr>
          <w:rFonts w:eastAsia="仿宋_GB2312"/>
          <w:sz w:val="32"/>
          <w:szCs w:val="32"/>
        </w:rPr>
      </w:pPr>
      <w:r>
        <w:rPr>
          <w:rFonts w:eastAsia="仿宋_GB2312"/>
          <w:color w:val="000000"/>
          <w:kern w:val="0"/>
          <w:sz w:val="32"/>
          <w:szCs w:val="32"/>
        </w:rPr>
        <w:t>（4）其他人员学时认定。非公有制经济组织、社会组织及自由职业专业技术人员继续教育学时认定按照属地原则，由单位人力资源部门或人事档案托管的人力资源服务机构按照有关规定到所在地人力资源社会保障部门集中核验办理。中央驻湘单位委托我省进行高级职称评审的，专业科目培训情况由单位人事部门审核确认，合格人员名单在本单位公示不少于5工作日。由单位人事部门收集汇总本年度委评人员公需科目培训材料、专业科目培训合格人员公示名单，于每年8月1至8月31日到省人社厅专技处统一核验办理《学时认定单》。</w:t>
      </w:r>
    </w:p>
    <w:p>
      <w:pPr>
        <w:widowControl/>
        <w:spacing w:line="560" w:lineRule="exact"/>
        <w:ind w:firstLine="640" w:firstLineChars="200"/>
        <w:jc w:val="left"/>
        <w:rPr>
          <w:rFonts w:eastAsia="仿宋_GB2312"/>
          <w:sz w:val="32"/>
          <w:szCs w:val="32"/>
        </w:rPr>
      </w:pPr>
      <w:r>
        <w:rPr>
          <w:rFonts w:eastAsia="仿宋_GB2312"/>
          <w:color w:val="000000"/>
          <w:kern w:val="0"/>
          <w:sz w:val="32"/>
          <w:szCs w:val="32"/>
        </w:rPr>
        <w:t xml:space="preserve">继续教育学时认定所需材料和折算细则仍按照《关于做好2020年专业技术人员继续教育有关工作的通知》（湘人社函〔2020〕11号）精神执行。 </w:t>
      </w:r>
    </w:p>
    <w:p>
      <w:pPr>
        <w:widowControl/>
        <w:spacing w:line="560" w:lineRule="exact"/>
        <w:ind w:firstLine="640" w:firstLineChars="200"/>
        <w:jc w:val="left"/>
        <w:rPr>
          <w:rFonts w:eastAsia="仿宋_GB2312"/>
          <w:sz w:val="32"/>
          <w:szCs w:val="32"/>
        </w:rPr>
      </w:pPr>
      <w:r>
        <w:rPr>
          <w:rFonts w:eastAsia="仿宋_GB2312"/>
          <w:color w:val="000000"/>
          <w:kern w:val="0"/>
          <w:sz w:val="32"/>
          <w:szCs w:val="32"/>
        </w:rPr>
        <w:t>（5）继续教育认定要求。用人单位需结合本单位发展战略和岗位要求，为本单位专业技术人员参加继续教育提供便利和保障。</w:t>
      </w:r>
    </w:p>
    <w:p>
      <w:pPr>
        <w:widowControl/>
        <w:spacing w:line="560" w:lineRule="exact"/>
        <w:ind w:firstLine="640" w:firstLineChars="200"/>
        <w:jc w:val="left"/>
        <w:rPr>
          <w:rFonts w:eastAsia="仿宋_GB2312"/>
          <w:sz w:val="32"/>
          <w:szCs w:val="32"/>
        </w:rPr>
      </w:pPr>
      <w:r>
        <w:rPr>
          <w:rFonts w:eastAsia="仿宋_GB2312"/>
          <w:color w:val="000000"/>
          <w:kern w:val="0"/>
          <w:sz w:val="32"/>
          <w:szCs w:val="32"/>
        </w:rPr>
        <w:t>省直主管部门、用人单位报省人社厅专技处同意后，可自行组织公</w:t>
      </w:r>
      <w:bookmarkStart w:id="0" w:name="_GoBack"/>
      <w:r>
        <w:rPr>
          <w:rFonts w:eastAsia="仿宋_GB2312"/>
          <w:color w:val="000000"/>
          <w:kern w:val="0"/>
          <w:sz w:val="32"/>
          <w:szCs w:val="32"/>
        </w:rPr>
        <w:t>需科目培训，也可结合专业科目培训安</w:t>
      </w:r>
      <w:bookmarkEnd w:id="0"/>
      <w:r>
        <w:rPr>
          <w:rFonts w:eastAsia="仿宋_GB2312"/>
          <w:color w:val="000000"/>
          <w:kern w:val="0"/>
          <w:sz w:val="32"/>
          <w:szCs w:val="32"/>
        </w:rPr>
        <w:t>排公需科目课程，其培训结果直接认定为当年度公需科目学时。</w:t>
      </w:r>
    </w:p>
    <w:p>
      <w:pPr>
        <w:widowControl/>
        <w:spacing w:line="560" w:lineRule="exact"/>
        <w:ind w:firstLine="640" w:firstLineChars="200"/>
        <w:jc w:val="left"/>
        <w:rPr>
          <w:rFonts w:eastAsia="仿宋_GB2312"/>
          <w:sz w:val="32"/>
          <w:szCs w:val="32"/>
        </w:rPr>
      </w:pPr>
      <w:r>
        <w:rPr>
          <w:rFonts w:eastAsia="仿宋_GB2312"/>
          <w:color w:val="000000"/>
          <w:kern w:val="0"/>
          <w:sz w:val="32"/>
          <w:szCs w:val="32"/>
        </w:rPr>
        <w:t>国家级、省级继续教育基地可开展面向全省的培训活动。专业技术人员自费参加国家级、省级继续教育基地等组织的公需科目培训所取得的学时全省范围内认可。</w:t>
      </w:r>
    </w:p>
    <w:p>
      <w:pPr>
        <w:widowControl/>
        <w:spacing w:line="560" w:lineRule="exact"/>
        <w:ind w:firstLine="640" w:firstLineChars="200"/>
        <w:jc w:val="left"/>
        <w:rPr>
          <w:rFonts w:eastAsia="黑体"/>
          <w:sz w:val="32"/>
          <w:szCs w:val="32"/>
        </w:rPr>
      </w:pPr>
      <w:r>
        <w:rPr>
          <w:rFonts w:eastAsia="黑体"/>
          <w:color w:val="000000"/>
          <w:kern w:val="0"/>
          <w:sz w:val="32"/>
          <w:szCs w:val="32"/>
        </w:rPr>
        <w:t>三、有关要求</w:t>
      </w:r>
    </w:p>
    <w:p>
      <w:pPr>
        <w:widowControl/>
        <w:spacing w:line="560" w:lineRule="exact"/>
        <w:ind w:firstLine="640" w:firstLineChars="200"/>
        <w:jc w:val="left"/>
        <w:rPr>
          <w:rFonts w:eastAsia="仿宋_GB2312"/>
          <w:sz w:val="32"/>
          <w:szCs w:val="32"/>
        </w:rPr>
      </w:pPr>
      <w:r>
        <w:rPr>
          <w:rFonts w:eastAsia="华文楷体"/>
          <w:color w:val="000000"/>
          <w:kern w:val="0"/>
          <w:sz w:val="32"/>
          <w:szCs w:val="32"/>
        </w:rPr>
        <w:t>（一）高度重视。</w:t>
      </w:r>
      <w:r>
        <w:rPr>
          <w:rFonts w:eastAsia="仿宋_GB2312"/>
          <w:color w:val="000000"/>
          <w:kern w:val="0"/>
          <w:sz w:val="32"/>
          <w:szCs w:val="32"/>
        </w:rPr>
        <w:t>各地各部门、各有关单位要进一步提高站位，准确把握进入新发展阶段、贯彻新发展理念、构建新发展格局对人才工作提出的新任务新要求，以服务重大战略和社会需求为导向，以培养人才创新精神和创新能力为重点，认真抓好工程的各项重点工作，全面提升我省专业技术人员专业水平和创新能力。</w:t>
      </w:r>
    </w:p>
    <w:p>
      <w:pPr>
        <w:widowControl/>
        <w:spacing w:line="560" w:lineRule="exact"/>
        <w:ind w:firstLine="640" w:firstLineChars="200"/>
        <w:jc w:val="left"/>
        <w:rPr>
          <w:rFonts w:eastAsia="仿宋_GB2312"/>
          <w:sz w:val="32"/>
          <w:szCs w:val="32"/>
        </w:rPr>
      </w:pPr>
      <w:r>
        <w:rPr>
          <w:rFonts w:eastAsia="华文楷体"/>
          <w:color w:val="000000"/>
          <w:kern w:val="0"/>
          <w:sz w:val="32"/>
          <w:szCs w:val="32"/>
        </w:rPr>
        <w:t>（二）精心组织。</w:t>
      </w:r>
      <w:r>
        <w:rPr>
          <w:rFonts w:eastAsia="仿宋_GB2312"/>
          <w:color w:val="000000"/>
          <w:kern w:val="0"/>
          <w:sz w:val="32"/>
          <w:szCs w:val="32"/>
        </w:rPr>
        <w:t>工程作为培养培训我省专业技术人才的重要载体，各地各部门要针对不同类别、不同层次、不同岗位的专业技术人才，分类制定培养培训计划，加强课程体系建设，规范网络课程培训、专家师资、教材资源、基地建设等重点工作。</w:t>
      </w:r>
    </w:p>
    <w:p>
      <w:pPr>
        <w:widowControl/>
        <w:spacing w:line="560" w:lineRule="exact"/>
        <w:ind w:firstLine="640" w:firstLineChars="200"/>
        <w:jc w:val="left"/>
        <w:rPr>
          <w:rFonts w:eastAsia="仿宋_GB2312"/>
          <w:color w:val="000000"/>
          <w:kern w:val="0"/>
          <w:sz w:val="32"/>
          <w:szCs w:val="32"/>
        </w:rPr>
      </w:pPr>
      <w:r>
        <w:rPr>
          <w:rFonts w:eastAsia="华文楷体"/>
          <w:color w:val="000000"/>
          <w:kern w:val="0"/>
          <w:sz w:val="32"/>
          <w:szCs w:val="32"/>
        </w:rPr>
        <w:t>（三）提供保障。</w:t>
      </w:r>
      <w:r>
        <w:rPr>
          <w:rFonts w:eastAsia="仿宋_GB2312"/>
          <w:color w:val="000000"/>
          <w:kern w:val="0"/>
          <w:sz w:val="32"/>
          <w:szCs w:val="32"/>
        </w:rPr>
        <w:t xml:space="preserve">各部门要整合现有专业技术人才培养培训资源，统筹规划、突出重点、优化结构，确保工程各重点项目的实施。各用人单位要鼓励本单位专业技术人才参加知识更新工程项目，保障参加继续教育的权利。要保障本单位开展工程项目支出，加强企事业单位继续教育经费提取和使用的监督管理，确保工程的顺利实施推进。 </w:t>
      </w:r>
    </w:p>
    <w:p>
      <w:pPr>
        <w:widowControl/>
        <w:spacing w:line="560" w:lineRule="exact"/>
        <w:ind w:firstLine="3520" w:firstLineChars="1100"/>
        <w:jc w:val="left"/>
        <w:rPr>
          <w:rFonts w:eastAsia="仿宋_GB2312"/>
          <w:color w:val="000000"/>
          <w:kern w:val="0"/>
          <w:sz w:val="32"/>
          <w:szCs w:val="32"/>
        </w:rPr>
      </w:pPr>
    </w:p>
    <w:p>
      <w:pPr>
        <w:widowControl/>
        <w:spacing w:line="560" w:lineRule="exact"/>
        <w:ind w:firstLine="3520" w:firstLineChars="1100"/>
        <w:jc w:val="left"/>
        <w:rPr>
          <w:rFonts w:eastAsia="仿宋_GB2312"/>
          <w:color w:val="000000"/>
          <w:kern w:val="0"/>
          <w:sz w:val="32"/>
          <w:szCs w:val="32"/>
        </w:rPr>
      </w:pPr>
    </w:p>
    <w:p>
      <w:pPr>
        <w:widowControl/>
        <w:spacing w:line="560" w:lineRule="exact"/>
        <w:ind w:firstLine="3520" w:firstLineChars="1100"/>
        <w:jc w:val="left"/>
        <w:rPr>
          <w:rFonts w:eastAsia="仿宋_GB2312"/>
          <w:color w:val="000000"/>
          <w:kern w:val="0"/>
          <w:sz w:val="32"/>
          <w:szCs w:val="32"/>
        </w:rPr>
      </w:pPr>
    </w:p>
    <w:p>
      <w:pPr>
        <w:widowControl/>
        <w:spacing w:line="560" w:lineRule="exact"/>
        <w:ind w:firstLine="3520" w:firstLineChars="1100"/>
        <w:jc w:val="left"/>
        <w:rPr>
          <w:rFonts w:eastAsia="仿宋_GB2312"/>
          <w:color w:val="000000"/>
          <w:kern w:val="0"/>
          <w:sz w:val="32"/>
          <w:szCs w:val="32"/>
        </w:rPr>
      </w:pPr>
      <w:r>
        <w:rPr>
          <w:rFonts w:eastAsia="仿宋_GB2312"/>
          <w:color w:val="000000"/>
          <w:kern w:val="0"/>
          <w:sz w:val="32"/>
          <w:szCs w:val="32"/>
        </w:rPr>
        <w:t>湖南省人力资源和社会保障厅</w:t>
      </w:r>
    </w:p>
    <w:p>
      <w:pPr>
        <w:widowControl/>
        <w:spacing w:line="560" w:lineRule="exact"/>
        <w:ind w:firstLine="4480" w:firstLineChars="1400"/>
        <w:jc w:val="left"/>
        <w:rPr>
          <w:rFonts w:eastAsia="仿宋_GB2312"/>
          <w:sz w:val="32"/>
          <w:szCs w:val="32"/>
        </w:rPr>
      </w:pPr>
      <w:r>
        <w:rPr>
          <w:rFonts w:eastAsia="仿宋_GB2312"/>
          <w:color w:val="000000"/>
          <w:kern w:val="0"/>
          <w:sz w:val="32"/>
          <w:szCs w:val="32"/>
        </w:rPr>
        <w:t>2021年3月17日</w:t>
      </w:r>
    </w:p>
    <w:p>
      <w:pPr>
        <w:widowControl/>
        <w:spacing w:afterLines="100" w:line="560" w:lineRule="exact"/>
        <w:jc w:val="left"/>
        <w:rPr>
          <w:sz w:val="24"/>
        </w:rPr>
      </w:pPr>
      <w:r>
        <w:rPr>
          <w:rFonts w:eastAsia="仿宋_GB2312"/>
          <w:color w:val="000000"/>
          <w:kern w:val="0"/>
          <w:sz w:val="32"/>
          <w:szCs w:val="32"/>
        </w:rPr>
        <w:br w:type="page"/>
      </w:r>
      <w:r>
        <w:rPr>
          <w:rFonts w:eastAsia="黑体"/>
          <w:sz w:val="32"/>
          <w:szCs w:val="32"/>
        </w:rPr>
        <w:t>附件2</w:t>
      </w:r>
    </w:p>
    <w:p>
      <w:pPr>
        <w:widowControl/>
        <w:spacing w:line="600" w:lineRule="exact"/>
        <w:jc w:val="center"/>
        <w:rPr>
          <w:rFonts w:eastAsia="方正小标宋简体"/>
          <w:color w:val="000000"/>
          <w:kern w:val="0"/>
          <w:sz w:val="44"/>
          <w:szCs w:val="38"/>
        </w:rPr>
      </w:pPr>
      <w:r>
        <w:rPr>
          <w:rFonts w:eastAsia="方正小标宋简体"/>
          <w:color w:val="000000"/>
          <w:kern w:val="0"/>
          <w:sz w:val="44"/>
          <w:szCs w:val="38"/>
        </w:rPr>
        <w:t>关于做好2020年专业技术人员继续教育有关工作的通知</w:t>
      </w:r>
    </w:p>
    <w:p>
      <w:pPr>
        <w:widowControl/>
        <w:spacing w:beforeLines="50" w:afterLines="100" w:line="560" w:lineRule="exact"/>
        <w:jc w:val="center"/>
        <w:rPr>
          <w:rFonts w:eastAsia="仿宋_GB2312"/>
          <w:color w:val="000000"/>
          <w:kern w:val="0"/>
          <w:sz w:val="32"/>
          <w:szCs w:val="32"/>
        </w:rPr>
      </w:pPr>
      <w:r>
        <w:rPr>
          <w:rFonts w:eastAsia="仿宋_GB2312"/>
          <w:color w:val="000000"/>
          <w:kern w:val="0"/>
          <w:sz w:val="32"/>
          <w:szCs w:val="32"/>
        </w:rPr>
        <w:t>（湘人社函〔2020〕11号）</w:t>
      </w:r>
    </w:p>
    <w:p>
      <w:pPr>
        <w:spacing w:line="560" w:lineRule="exact"/>
        <w:rPr>
          <w:rFonts w:eastAsia="仿宋_GB2312"/>
          <w:sz w:val="32"/>
          <w:szCs w:val="32"/>
        </w:rPr>
      </w:pPr>
      <w:r>
        <w:rPr>
          <w:rFonts w:eastAsia="仿宋_GB2312"/>
          <w:sz w:val="32"/>
          <w:szCs w:val="32"/>
        </w:rPr>
        <w:t>各市州人力资源和社会保障局，省直和中央在湘有关单位人事（人力资源）处：</w:t>
      </w:r>
    </w:p>
    <w:p>
      <w:pPr>
        <w:spacing w:line="560" w:lineRule="exact"/>
        <w:ind w:firstLine="640" w:firstLineChars="200"/>
        <w:rPr>
          <w:rFonts w:eastAsia="仿宋_GB2312"/>
          <w:sz w:val="32"/>
          <w:szCs w:val="32"/>
        </w:rPr>
      </w:pPr>
      <w:r>
        <w:rPr>
          <w:rFonts w:eastAsia="仿宋_GB2312"/>
          <w:sz w:val="32"/>
          <w:szCs w:val="32"/>
        </w:rPr>
        <w:t>为做好专业技术人员继续教育工作，根据《专业技术人员继续教育规定》（人社部令第25号），现就2020年度专业技术人员继续教育有关工作通知如下：</w:t>
      </w:r>
    </w:p>
    <w:p>
      <w:pPr>
        <w:spacing w:line="560" w:lineRule="exact"/>
        <w:ind w:firstLine="640" w:firstLineChars="200"/>
        <w:rPr>
          <w:rFonts w:eastAsia="仿宋_GB2312"/>
          <w:sz w:val="32"/>
          <w:szCs w:val="32"/>
        </w:rPr>
      </w:pPr>
      <w:r>
        <w:rPr>
          <w:rFonts w:eastAsia="黑体"/>
          <w:sz w:val="32"/>
          <w:szCs w:val="32"/>
        </w:rPr>
        <w:t>一、明确继续教育内容和认定方式</w:t>
      </w:r>
    </w:p>
    <w:p>
      <w:pPr>
        <w:spacing w:line="560" w:lineRule="exact"/>
        <w:ind w:firstLine="643" w:firstLineChars="200"/>
        <w:rPr>
          <w:rFonts w:eastAsia="仿宋_GB2312"/>
          <w:sz w:val="32"/>
          <w:szCs w:val="32"/>
        </w:rPr>
      </w:pPr>
      <w:r>
        <w:rPr>
          <w:rFonts w:eastAsia="仿宋_GB2312"/>
          <w:b/>
          <w:bCs/>
          <w:sz w:val="32"/>
          <w:szCs w:val="32"/>
        </w:rPr>
        <w:t>（一）内容。</w:t>
      </w:r>
      <w:r>
        <w:rPr>
          <w:rFonts w:eastAsia="仿宋_GB2312"/>
          <w:sz w:val="32"/>
          <w:szCs w:val="32"/>
        </w:rPr>
        <w:t>包括公需科目和专业科目。2020年度公需科目主题为“专业技术人员在新时代国家治理体系和治理能力现代化建设中的担当作为”。专业科目包括从事专业工作应当掌握的新理论、新知识、新技术、新方法等专业知识。</w:t>
      </w:r>
    </w:p>
    <w:p>
      <w:pPr>
        <w:spacing w:line="560" w:lineRule="exact"/>
        <w:ind w:firstLine="643" w:firstLineChars="200"/>
        <w:rPr>
          <w:rFonts w:eastAsia="仿宋_GB2312"/>
          <w:sz w:val="32"/>
          <w:szCs w:val="32"/>
        </w:rPr>
      </w:pPr>
      <w:r>
        <w:rPr>
          <w:rFonts w:eastAsia="仿宋_GB2312"/>
          <w:b/>
          <w:bCs/>
          <w:sz w:val="32"/>
          <w:szCs w:val="32"/>
        </w:rPr>
        <w:t>（二）认定。</w:t>
      </w:r>
      <w:r>
        <w:rPr>
          <w:rFonts w:eastAsia="仿宋_GB2312"/>
          <w:sz w:val="32"/>
          <w:szCs w:val="32"/>
        </w:rPr>
        <w:t>专技人员参加继续教育的时间，每年累计不少于90学时（分），其中，专业科目一般不少于60学时（分）。继续教育学时认定形式等详见附件。</w:t>
      </w:r>
    </w:p>
    <w:p>
      <w:pPr>
        <w:spacing w:line="560" w:lineRule="exact"/>
        <w:ind w:firstLine="640" w:firstLineChars="200"/>
        <w:rPr>
          <w:rFonts w:eastAsia="黑体"/>
          <w:sz w:val="32"/>
          <w:szCs w:val="32"/>
        </w:rPr>
      </w:pPr>
      <w:r>
        <w:rPr>
          <w:rFonts w:eastAsia="黑体"/>
          <w:sz w:val="32"/>
          <w:szCs w:val="32"/>
        </w:rPr>
        <w:t>二、做好继续教育年度登记</w:t>
      </w:r>
    </w:p>
    <w:p>
      <w:pPr>
        <w:spacing w:line="560" w:lineRule="exact"/>
        <w:ind w:firstLine="640" w:firstLineChars="200"/>
        <w:rPr>
          <w:rFonts w:eastAsia="仿宋_GB2312"/>
          <w:sz w:val="32"/>
          <w:szCs w:val="32"/>
        </w:rPr>
      </w:pPr>
      <w:r>
        <w:rPr>
          <w:rFonts w:eastAsia="仿宋_GB2312"/>
          <w:sz w:val="32"/>
          <w:szCs w:val="32"/>
        </w:rPr>
        <w:t>根据人社部令第25号“用人单位应当建立继续教育登记管理制度”要求，全省专业技术人员继续教育采取证书年度登记制。省直部门（含省属高校等）汇总填写《湖南省专技人员继续教育登记手册实名制领取表》后，统一到省人社厅专技处免费领取本单位取得中级职称及以上人员的《湖南省专技人员继续教育登记手册》（以下简称《登记手册》）。专技人员要按年度认真填写《登记手册》，确保信息规范完整;施教机构要如实记录专技人员参加继续教育的内容、时间、考核结果等信息;用人单位和省直主管部门每年要对《登记手册》记载内容审核确认。各市州继续教育登记工作，由市州人力资源社会保障部门依据有关规定组织实施。</w:t>
      </w:r>
    </w:p>
    <w:p>
      <w:pPr>
        <w:spacing w:line="560" w:lineRule="exact"/>
        <w:ind w:firstLine="640" w:firstLineChars="200"/>
        <w:rPr>
          <w:rFonts w:eastAsia="黑体"/>
          <w:sz w:val="32"/>
          <w:szCs w:val="32"/>
        </w:rPr>
      </w:pPr>
      <w:r>
        <w:rPr>
          <w:rFonts w:eastAsia="黑体"/>
          <w:sz w:val="32"/>
          <w:szCs w:val="32"/>
        </w:rPr>
        <w:t>三、认真开展职称参评人员继续教育学时（分）认定</w:t>
      </w:r>
    </w:p>
    <w:p>
      <w:pPr>
        <w:spacing w:line="560" w:lineRule="exact"/>
        <w:ind w:firstLine="640" w:firstLineChars="200"/>
        <w:rPr>
          <w:rFonts w:eastAsia="仿宋_GB2312"/>
          <w:sz w:val="32"/>
          <w:szCs w:val="32"/>
        </w:rPr>
      </w:pPr>
      <w:r>
        <w:rPr>
          <w:rFonts w:eastAsia="仿宋_GB2312"/>
          <w:sz w:val="32"/>
          <w:szCs w:val="32"/>
        </w:rPr>
        <w:t>根据人社部令第25号第十六条“专业技术人员参加继续教育情况作为聘任专业技术职务或申报评定上一级资格的重要条件”规定，各职称系列、各自评单位在高级职称评审（聘）时，核实全省统一的《湖南省专业技术人员继续教育学时（分）认定单》（简称《学时（分）认定单》）。2020年度参评高级职称继续教育学时（分）认定跨度为2015~2019年（博士参评副高认定跨度为2018~2019年，硕士参评医学类副高职称继续教育学时（分）认定跨度为2016~2019年）。</w:t>
      </w:r>
    </w:p>
    <w:p>
      <w:pPr>
        <w:spacing w:line="560" w:lineRule="exact"/>
        <w:ind w:firstLine="643" w:firstLineChars="200"/>
        <w:rPr>
          <w:rFonts w:eastAsia="仿宋_GB2312"/>
          <w:sz w:val="32"/>
          <w:szCs w:val="32"/>
        </w:rPr>
      </w:pPr>
      <w:r>
        <w:rPr>
          <w:rFonts w:eastAsia="仿宋_GB2312"/>
          <w:b/>
          <w:bCs/>
          <w:sz w:val="32"/>
          <w:szCs w:val="32"/>
        </w:rPr>
        <w:t>（一）省直单位高级职称申报人员学时（分）认定。</w:t>
      </w:r>
      <w:r>
        <w:rPr>
          <w:rFonts w:eastAsia="仿宋_GB2312"/>
          <w:sz w:val="32"/>
          <w:szCs w:val="32"/>
        </w:rPr>
        <w:t>专业科目培训情况由用人单位初审，合格人员名单在本单位公示不少于5个工作日，再由省直主管部门复审确认。省直主管部门收集汇总参评高级职称人员的《登记手册》、公需科目培训材料、专业科目培训合格人员公示名单，于6月1日至7月31日到省人社厅专技处统一核验办理《学时（分）认定单》。原则上不接受部门下属单位和个人办理。省直单位初中级职称专技人员继续教育登记、学时认定等由省直主管部门按相关规定自行组织实施。</w:t>
      </w:r>
    </w:p>
    <w:p>
      <w:pPr>
        <w:spacing w:line="560" w:lineRule="exact"/>
        <w:ind w:firstLine="643" w:firstLineChars="200"/>
        <w:rPr>
          <w:rFonts w:eastAsia="仿宋_GB2312"/>
          <w:sz w:val="32"/>
          <w:szCs w:val="32"/>
        </w:rPr>
      </w:pPr>
      <w:r>
        <w:rPr>
          <w:rFonts w:eastAsia="仿宋_GB2312"/>
          <w:b/>
          <w:bCs/>
          <w:sz w:val="32"/>
          <w:szCs w:val="32"/>
        </w:rPr>
        <w:t>（二）具有职称自评权的高校自行认定继续教育学时（分）。</w:t>
      </w:r>
      <w:r>
        <w:rPr>
          <w:rFonts w:eastAsia="仿宋_GB2312"/>
          <w:sz w:val="32"/>
          <w:szCs w:val="32"/>
        </w:rPr>
        <w:t>各自评高校依据《专业技术人员继续教育规定》和相关要求开展本单位继续教育登记和学时（分）认定，继续教育合格人员名单在本单位公示不少于5个工作日。各高校人事部门汇总本年度高级职称参评人员（含旁系参评）继续教育合格公示材料，加盖公章后于8月31日前报省人社厅专技处留存备查，并统一办理《学时（分）认定单》。中初级学时（分）认定按相关规定自行组织实施。</w:t>
      </w:r>
    </w:p>
    <w:p>
      <w:pPr>
        <w:spacing w:line="560" w:lineRule="exact"/>
        <w:ind w:firstLine="643" w:firstLineChars="200"/>
        <w:rPr>
          <w:rFonts w:eastAsia="仿宋_GB2312"/>
          <w:sz w:val="32"/>
          <w:szCs w:val="32"/>
        </w:rPr>
      </w:pPr>
      <w:r>
        <w:rPr>
          <w:rFonts w:eastAsia="仿宋_GB2312"/>
          <w:b/>
          <w:bCs/>
          <w:sz w:val="32"/>
          <w:szCs w:val="32"/>
        </w:rPr>
        <w:t>（三）市州学时（分）认定。</w:t>
      </w:r>
      <w:r>
        <w:rPr>
          <w:rFonts w:eastAsia="仿宋_GB2312"/>
          <w:sz w:val="32"/>
          <w:szCs w:val="32"/>
        </w:rPr>
        <w:t>市州参评职称专技人员的继续教育学时认定，由市州人社部门按相关规定组织实施，其中高级职称继续教育学时（分）认定统一使用《学时（分）认定单》（免费申领）。</w:t>
      </w:r>
    </w:p>
    <w:p>
      <w:pPr>
        <w:spacing w:line="560" w:lineRule="exact"/>
        <w:ind w:firstLine="643" w:firstLineChars="200"/>
        <w:rPr>
          <w:rFonts w:eastAsia="仿宋_GB2312"/>
          <w:sz w:val="32"/>
          <w:szCs w:val="32"/>
        </w:rPr>
      </w:pPr>
      <w:r>
        <w:rPr>
          <w:rFonts w:eastAsia="仿宋_GB2312"/>
          <w:b/>
          <w:bCs/>
          <w:sz w:val="32"/>
          <w:szCs w:val="32"/>
        </w:rPr>
        <w:t>（四）其他人员学时（分）认定。</w:t>
      </w:r>
      <w:r>
        <w:rPr>
          <w:rFonts w:eastAsia="仿宋_GB2312"/>
          <w:sz w:val="32"/>
          <w:szCs w:val="32"/>
        </w:rPr>
        <w:t>非公有制经济组织、社会组织及自由职业专技人员继续教育学时认定按照属地原则，由单位人力资源部门或人事档案托管的人力资源服务机构按照有关规定到所在地人力资源社会保障部门集中核验办理。中央驻湘单位2020年委托我省进行高级职称评审的，专业科目培训情况由单位人事部门审核确认，合格人员名单在本单位公示不少于5个工作日。由单位人事部门收集汇总本年度委评人员公需科目培训材料、专业科目培训合格人员公示名单，于8月1日至8月31日到省人社厅专技处统一核验办理《学时（分）认定单》。</w:t>
      </w:r>
    </w:p>
    <w:p>
      <w:pPr>
        <w:spacing w:line="560" w:lineRule="exact"/>
        <w:ind w:firstLine="640" w:firstLineChars="200"/>
        <w:rPr>
          <w:rFonts w:eastAsia="黑体"/>
          <w:sz w:val="32"/>
          <w:szCs w:val="32"/>
        </w:rPr>
      </w:pPr>
      <w:r>
        <w:rPr>
          <w:rFonts w:eastAsia="黑体"/>
          <w:sz w:val="32"/>
          <w:szCs w:val="32"/>
        </w:rPr>
        <w:t>四、其他要求</w:t>
      </w:r>
    </w:p>
    <w:p>
      <w:pPr>
        <w:spacing w:line="560" w:lineRule="exact"/>
        <w:ind w:firstLine="640" w:firstLineChars="200"/>
        <w:rPr>
          <w:rFonts w:eastAsia="仿宋_GB2312"/>
          <w:sz w:val="32"/>
          <w:szCs w:val="32"/>
        </w:rPr>
      </w:pPr>
      <w:r>
        <w:rPr>
          <w:rFonts w:eastAsia="仿宋_GB2312"/>
          <w:sz w:val="32"/>
          <w:szCs w:val="32"/>
        </w:rPr>
        <w:t>（一）疫情防控期按相关规定停办专技人员继续教育聚集性线下培训活动，恢复时间另行通知。</w:t>
      </w:r>
    </w:p>
    <w:p>
      <w:pPr>
        <w:spacing w:line="560" w:lineRule="exact"/>
        <w:ind w:firstLine="640" w:firstLineChars="200"/>
        <w:rPr>
          <w:rFonts w:eastAsia="仿宋_GB2312"/>
          <w:sz w:val="32"/>
          <w:szCs w:val="32"/>
        </w:rPr>
      </w:pPr>
      <w:r>
        <w:rPr>
          <w:rFonts w:eastAsia="仿宋_GB2312"/>
          <w:sz w:val="32"/>
          <w:szCs w:val="32"/>
        </w:rPr>
        <w:t>（二）用人单位需结合本单位发展战略和岗位要求，为本单位专技人员参加继续教育提供便利和保障。鼓励省直主管部门、用人单位等组织公需科目培训，也可结合专业科目培训安排公需科目课程。培训结果直接认定为继续教育公需科目学时（分）。</w:t>
      </w:r>
    </w:p>
    <w:p>
      <w:pPr>
        <w:spacing w:line="560" w:lineRule="exact"/>
        <w:ind w:firstLine="640" w:firstLineChars="200"/>
        <w:rPr>
          <w:rFonts w:eastAsia="仿宋_GB2312"/>
          <w:sz w:val="32"/>
          <w:szCs w:val="32"/>
        </w:rPr>
      </w:pPr>
      <w:r>
        <w:rPr>
          <w:rFonts w:eastAsia="仿宋_GB2312"/>
          <w:sz w:val="32"/>
          <w:szCs w:val="32"/>
        </w:rPr>
        <w:t>（三）专技人员以前年度已进行学时（分）认定并开具《学时（分）认定单》的，本年度进行学时（分）认定时只需提供以前的《学时（分）认定单》和后续年度培训材料。如：办理了2014-2018年学时认定单的，2020年度办理时，提供以前的学时（分）认定单和2019年度相关材料即可。</w:t>
      </w:r>
    </w:p>
    <w:p>
      <w:pPr>
        <w:spacing w:line="560" w:lineRule="exact"/>
        <w:ind w:firstLine="640" w:firstLineChars="200"/>
        <w:rPr>
          <w:rFonts w:eastAsia="仿宋_GB2312"/>
          <w:sz w:val="32"/>
          <w:szCs w:val="32"/>
        </w:rPr>
      </w:pPr>
      <w:r>
        <w:rPr>
          <w:rFonts w:eastAsia="仿宋_GB2312"/>
          <w:sz w:val="32"/>
          <w:szCs w:val="32"/>
        </w:rPr>
        <w:t>（四）继续教育基地举办的培训活动应当突出公益性。组织公需科目面授培训的，须将《湖南省2020年专业技术人员公需科目培训备案表》和培训方案（培训时间、计划安排、教材、拟培训人员范围）电子版与纸质版报省人社厅备案。继续教育基地面向社会开展网络培训的，须由基地主管单位人事部门（本科院校人事部门，市州所属单位由市州人力资源社会保障局）组织专家对培训教案、培训课件等相关网络培训资料进行审定，并于网络培训上线前向省人社厅专技处提交审定结论，省人社厅不定期组织交叉审查，否则培训结果不予认可。</w:t>
      </w:r>
    </w:p>
    <w:p>
      <w:pPr>
        <w:spacing w:line="560" w:lineRule="exact"/>
        <w:ind w:firstLine="640" w:firstLineChars="200"/>
        <w:rPr>
          <w:rFonts w:eastAsia="仿宋_GB2312"/>
          <w:sz w:val="32"/>
          <w:szCs w:val="32"/>
        </w:rPr>
      </w:pPr>
      <w:r>
        <w:rPr>
          <w:rFonts w:eastAsia="仿宋_GB2312"/>
          <w:sz w:val="32"/>
          <w:szCs w:val="32"/>
        </w:rPr>
        <w:t>（五）为严格线上网络培训证书管理，所有网络培训平台证书管理系统一律实施双重（A+B）秘钥管理。秘钥A由基地主管部门管理，秘钥B于3月10日前交省人社厅专技处统一管理。逾期不交的培训结果不予认可。相关表格在湖南省人力资源和社会保障厅官网（http://rst.hunan.gov.cn）通知公告专栏下载。</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附件：继续教育学时（分）认定有关说明</w:t>
      </w:r>
    </w:p>
    <w:p>
      <w:pPr>
        <w:spacing w:line="560" w:lineRule="exact"/>
        <w:rPr>
          <w:rFonts w:eastAsia="仿宋_GB2312"/>
          <w:sz w:val="32"/>
          <w:szCs w:val="32"/>
        </w:rPr>
      </w:pPr>
    </w:p>
    <w:p>
      <w:pPr>
        <w:widowControl/>
        <w:jc w:val="left"/>
        <w:rPr>
          <w:rFonts w:eastAsia="仿宋_GB2312"/>
          <w:sz w:val="32"/>
          <w:szCs w:val="32"/>
        </w:rPr>
      </w:pPr>
      <w:r>
        <w:rPr>
          <w:rFonts w:eastAsia="仿宋_GB2312"/>
          <w:sz w:val="32"/>
          <w:szCs w:val="32"/>
        </w:rPr>
        <w:br w:type="page"/>
      </w:r>
    </w:p>
    <w:p>
      <w:pPr>
        <w:spacing w:line="560" w:lineRule="exact"/>
        <w:rPr>
          <w:rFonts w:eastAsia="黑体"/>
          <w:sz w:val="32"/>
          <w:szCs w:val="32"/>
        </w:rPr>
      </w:pPr>
      <w:r>
        <w:rPr>
          <w:rFonts w:eastAsia="黑体"/>
          <w:sz w:val="32"/>
          <w:szCs w:val="32"/>
        </w:rPr>
        <w:t>附件</w:t>
      </w:r>
    </w:p>
    <w:p>
      <w:pPr>
        <w:spacing w:afterLines="100" w:line="600" w:lineRule="exact"/>
        <w:jc w:val="center"/>
        <w:rPr>
          <w:rFonts w:eastAsia="方正小标宋简体"/>
          <w:sz w:val="44"/>
          <w:szCs w:val="32"/>
        </w:rPr>
      </w:pPr>
      <w:r>
        <w:rPr>
          <w:rFonts w:eastAsia="方正小标宋简体"/>
          <w:sz w:val="44"/>
          <w:szCs w:val="32"/>
        </w:rPr>
        <w:t>继续教育学时（分）认定有关说明</w:t>
      </w:r>
    </w:p>
    <w:p>
      <w:pPr>
        <w:spacing w:line="560" w:lineRule="exact"/>
        <w:ind w:firstLine="640" w:firstLineChars="200"/>
        <w:rPr>
          <w:rFonts w:eastAsia="仿宋_GB2312"/>
          <w:sz w:val="32"/>
          <w:szCs w:val="32"/>
        </w:rPr>
      </w:pPr>
      <w:r>
        <w:rPr>
          <w:rFonts w:eastAsia="仿宋_GB2312"/>
          <w:sz w:val="32"/>
          <w:szCs w:val="32"/>
        </w:rPr>
        <w:t>专业技术人员每年都应参加公需科目和专业科目培训，继续教育形式、学时（分）认定所需材料、学时（分）折算细则如下：</w:t>
      </w:r>
    </w:p>
    <w:p>
      <w:pPr>
        <w:spacing w:line="560" w:lineRule="exact"/>
        <w:ind w:firstLine="640" w:firstLineChars="200"/>
        <w:rPr>
          <w:rFonts w:eastAsia="黑体"/>
          <w:sz w:val="32"/>
          <w:szCs w:val="32"/>
        </w:rPr>
      </w:pPr>
      <w:r>
        <w:rPr>
          <w:rFonts w:eastAsia="黑体"/>
          <w:sz w:val="32"/>
          <w:szCs w:val="32"/>
        </w:rPr>
        <w:t>一、继续教育形式及学时（分）认定所需材料</w:t>
      </w:r>
    </w:p>
    <w:p>
      <w:pPr>
        <w:spacing w:line="560" w:lineRule="exact"/>
        <w:ind w:firstLine="640" w:firstLineChars="200"/>
        <w:rPr>
          <w:rFonts w:eastAsia="仿宋_GB2312"/>
          <w:sz w:val="32"/>
          <w:szCs w:val="32"/>
        </w:rPr>
      </w:pPr>
      <w:r>
        <w:rPr>
          <w:rFonts w:eastAsia="仿宋_GB2312"/>
          <w:sz w:val="32"/>
          <w:szCs w:val="32"/>
        </w:rPr>
        <w:t>1.参加培训班、研修班、进修班的提供以下材料之一：</w:t>
      </w:r>
    </w:p>
    <w:p>
      <w:pPr>
        <w:spacing w:line="560" w:lineRule="exact"/>
        <w:ind w:firstLine="640" w:firstLineChars="200"/>
        <w:rPr>
          <w:rFonts w:eastAsia="仿宋_GB2312"/>
          <w:sz w:val="32"/>
          <w:szCs w:val="32"/>
        </w:rPr>
      </w:pPr>
      <w:r>
        <w:rPr>
          <w:rFonts w:eastAsia="仿宋_GB2312"/>
          <w:sz w:val="32"/>
          <w:szCs w:val="32"/>
        </w:rPr>
        <w:t>（1）培训通知、培训课程表（或培训日程安排）、培训签到表或其他签到形式;</w:t>
      </w:r>
    </w:p>
    <w:p>
      <w:pPr>
        <w:spacing w:line="560" w:lineRule="exact"/>
        <w:ind w:firstLine="640" w:firstLineChars="200"/>
        <w:rPr>
          <w:rFonts w:eastAsia="仿宋_GB2312"/>
          <w:sz w:val="32"/>
          <w:szCs w:val="32"/>
        </w:rPr>
      </w:pPr>
      <w:r>
        <w:rPr>
          <w:rFonts w:eastAsia="仿宋_GB2312"/>
          <w:sz w:val="32"/>
          <w:szCs w:val="32"/>
        </w:rPr>
        <w:t>（2）培训通知（或培训签到表、培训课程表、培训日程安排之一）、结业证书。</w:t>
      </w:r>
    </w:p>
    <w:p>
      <w:pPr>
        <w:spacing w:line="560" w:lineRule="exact"/>
        <w:ind w:firstLine="640" w:firstLineChars="200"/>
        <w:rPr>
          <w:rFonts w:eastAsia="仿宋_GB2312"/>
          <w:sz w:val="32"/>
          <w:szCs w:val="32"/>
        </w:rPr>
      </w:pPr>
      <w:r>
        <w:rPr>
          <w:rFonts w:eastAsia="仿宋_GB2312"/>
          <w:sz w:val="32"/>
          <w:szCs w:val="32"/>
        </w:rPr>
        <w:t>2.参加继续教育实践活动的提供以下材料之一：</w:t>
      </w:r>
    </w:p>
    <w:p>
      <w:pPr>
        <w:spacing w:line="560" w:lineRule="exact"/>
        <w:ind w:firstLine="640" w:firstLineChars="200"/>
        <w:rPr>
          <w:rFonts w:eastAsia="仿宋_GB2312"/>
          <w:sz w:val="32"/>
          <w:szCs w:val="32"/>
        </w:rPr>
      </w:pPr>
      <w:r>
        <w:rPr>
          <w:rFonts w:eastAsia="仿宋_GB2312"/>
          <w:sz w:val="32"/>
          <w:szCs w:val="32"/>
        </w:rPr>
        <w:t>（1）实践活动通知、加盖单位公章的派出通知;</w:t>
      </w:r>
    </w:p>
    <w:p>
      <w:pPr>
        <w:spacing w:line="560" w:lineRule="exact"/>
        <w:ind w:firstLine="640" w:firstLineChars="200"/>
        <w:rPr>
          <w:rFonts w:eastAsia="仿宋_GB2312"/>
          <w:sz w:val="32"/>
          <w:szCs w:val="32"/>
        </w:rPr>
      </w:pPr>
      <w:r>
        <w:rPr>
          <w:rFonts w:eastAsia="仿宋_GB2312"/>
          <w:sz w:val="32"/>
          <w:szCs w:val="32"/>
        </w:rPr>
        <w:t>（2）实践活动通知（或实践报名表）、实践活动日志。</w:t>
      </w:r>
    </w:p>
    <w:p>
      <w:pPr>
        <w:spacing w:line="560" w:lineRule="exact"/>
        <w:ind w:firstLine="640" w:firstLineChars="200"/>
        <w:rPr>
          <w:rFonts w:eastAsia="仿宋_GB2312"/>
          <w:sz w:val="32"/>
          <w:szCs w:val="32"/>
        </w:rPr>
      </w:pPr>
      <w:r>
        <w:rPr>
          <w:rFonts w:eastAsia="仿宋_GB2312"/>
          <w:sz w:val="32"/>
          <w:szCs w:val="32"/>
        </w:rPr>
        <w:t>3.参加网络平台专业课程等远程教育的提供以下材料之一：</w:t>
      </w:r>
    </w:p>
    <w:p>
      <w:pPr>
        <w:spacing w:line="560" w:lineRule="exact"/>
        <w:ind w:firstLine="640" w:firstLineChars="200"/>
        <w:rPr>
          <w:rFonts w:eastAsia="仿宋_GB2312"/>
          <w:sz w:val="32"/>
          <w:szCs w:val="32"/>
        </w:rPr>
      </w:pPr>
      <w:r>
        <w:rPr>
          <w:rFonts w:eastAsia="仿宋_GB2312"/>
          <w:sz w:val="32"/>
          <w:szCs w:val="32"/>
        </w:rPr>
        <w:t>（1）课程内容安排、课程完成进度;</w:t>
      </w:r>
    </w:p>
    <w:p>
      <w:pPr>
        <w:spacing w:line="560" w:lineRule="exact"/>
        <w:ind w:firstLine="640" w:firstLineChars="200"/>
        <w:rPr>
          <w:rFonts w:eastAsia="仿宋_GB2312"/>
          <w:sz w:val="32"/>
          <w:szCs w:val="32"/>
        </w:rPr>
      </w:pPr>
      <w:r>
        <w:rPr>
          <w:rFonts w:eastAsia="仿宋_GB2312"/>
          <w:sz w:val="32"/>
          <w:szCs w:val="32"/>
        </w:rPr>
        <w:t>（2）课程时长（或课程内容）、结业证书。</w:t>
      </w:r>
    </w:p>
    <w:p>
      <w:pPr>
        <w:spacing w:line="560" w:lineRule="exact"/>
        <w:ind w:firstLine="640" w:firstLineChars="200"/>
        <w:rPr>
          <w:rFonts w:eastAsia="仿宋_GB2312"/>
          <w:sz w:val="32"/>
          <w:szCs w:val="32"/>
        </w:rPr>
      </w:pPr>
      <w:r>
        <w:rPr>
          <w:rFonts w:eastAsia="仿宋_GB2312"/>
          <w:sz w:val="32"/>
          <w:szCs w:val="32"/>
        </w:rPr>
        <w:t>4.参加学术会议、讲座、访问、交流等的提供以下材料之一：</w:t>
      </w:r>
    </w:p>
    <w:p>
      <w:pPr>
        <w:spacing w:line="560" w:lineRule="exact"/>
        <w:ind w:firstLine="640" w:firstLineChars="200"/>
        <w:rPr>
          <w:rFonts w:eastAsia="仿宋_GB2312"/>
          <w:sz w:val="32"/>
          <w:szCs w:val="32"/>
        </w:rPr>
      </w:pPr>
      <w:r>
        <w:rPr>
          <w:rFonts w:eastAsia="仿宋_GB2312"/>
          <w:sz w:val="32"/>
          <w:szCs w:val="32"/>
        </w:rPr>
        <w:t>（1）</w:t>
      </w:r>
      <w:r>
        <w:rPr>
          <w:rFonts w:eastAsia="仿宋_GB2312"/>
          <w:spacing w:val="-6"/>
          <w:sz w:val="32"/>
          <w:szCs w:val="32"/>
        </w:rPr>
        <w:t>邀请函或通知、加盖公章的参会回执、学习笔记等资料;</w:t>
      </w:r>
    </w:p>
    <w:p>
      <w:pPr>
        <w:spacing w:line="560" w:lineRule="exact"/>
        <w:ind w:firstLine="640" w:firstLineChars="200"/>
        <w:rPr>
          <w:rFonts w:eastAsia="仿宋_GB2312"/>
          <w:sz w:val="32"/>
          <w:szCs w:val="32"/>
        </w:rPr>
      </w:pPr>
      <w:r>
        <w:rPr>
          <w:rFonts w:eastAsia="仿宋_GB2312"/>
          <w:sz w:val="32"/>
          <w:szCs w:val="32"/>
        </w:rPr>
        <w:t>（2）会议通讯录、邮件回执、财务报账单等其他辅证材料。</w:t>
      </w:r>
    </w:p>
    <w:p>
      <w:pPr>
        <w:spacing w:line="560" w:lineRule="exact"/>
        <w:ind w:firstLine="640" w:firstLineChars="200"/>
        <w:rPr>
          <w:rFonts w:eastAsia="仿宋_GB2312"/>
          <w:sz w:val="32"/>
          <w:szCs w:val="32"/>
        </w:rPr>
      </w:pPr>
      <w:r>
        <w:rPr>
          <w:rFonts w:eastAsia="仿宋_GB2312"/>
          <w:sz w:val="32"/>
          <w:szCs w:val="32"/>
        </w:rPr>
        <w:t>5.参加课题研究与项目开发的提供结题（项）证明材料。</w:t>
      </w:r>
    </w:p>
    <w:p>
      <w:pPr>
        <w:spacing w:line="560" w:lineRule="exact"/>
        <w:ind w:firstLine="640" w:firstLineChars="200"/>
        <w:rPr>
          <w:rFonts w:eastAsia="仿宋_GB2312"/>
          <w:sz w:val="32"/>
          <w:szCs w:val="32"/>
        </w:rPr>
      </w:pPr>
      <w:r>
        <w:rPr>
          <w:rFonts w:eastAsia="仿宋_GB2312"/>
          <w:sz w:val="32"/>
          <w:szCs w:val="32"/>
        </w:rPr>
        <w:t>6.出版着作（译作）的提供含作者名字的着作封面、版权页及目录复印件。发表论文的提供刊物封面、刊号、含论文标题和作者姓名的目录复印件。</w:t>
      </w:r>
    </w:p>
    <w:p>
      <w:pPr>
        <w:spacing w:line="560" w:lineRule="exact"/>
        <w:ind w:firstLine="640" w:firstLineChars="200"/>
        <w:rPr>
          <w:rFonts w:eastAsia="仿宋_GB2312"/>
          <w:sz w:val="32"/>
          <w:szCs w:val="32"/>
        </w:rPr>
      </w:pPr>
      <w:r>
        <w:rPr>
          <w:rFonts w:eastAsia="仿宋_GB2312"/>
          <w:sz w:val="32"/>
          <w:szCs w:val="32"/>
        </w:rPr>
        <w:t>7.获得发明专利、实用新型专利或外观设计专利的提供专利证书。</w:t>
      </w:r>
    </w:p>
    <w:p>
      <w:pPr>
        <w:spacing w:line="560" w:lineRule="exact"/>
        <w:ind w:firstLine="640" w:firstLineChars="200"/>
        <w:rPr>
          <w:rFonts w:eastAsia="仿宋_GB2312"/>
          <w:sz w:val="32"/>
          <w:szCs w:val="32"/>
        </w:rPr>
      </w:pPr>
      <w:r>
        <w:rPr>
          <w:rFonts w:eastAsia="仿宋_GB2312"/>
          <w:sz w:val="32"/>
          <w:szCs w:val="32"/>
        </w:rPr>
        <w:t>8.主持或参与课题获政府或行业组织奖项的提供获奖证书。</w:t>
      </w:r>
    </w:p>
    <w:p>
      <w:pPr>
        <w:spacing w:line="560" w:lineRule="exact"/>
        <w:ind w:firstLine="640" w:firstLineChars="200"/>
        <w:rPr>
          <w:rFonts w:eastAsia="仿宋_GB2312"/>
          <w:sz w:val="32"/>
          <w:szCs w:val="32"/>
        </w:rPr>
      </w:pPr>
      <w:r>
        <w:rPr>
          <w:rFonts w:eastAsia="仿宋_GB2312"/>
          <w:sz w:val="32"/>
          <w:szCs w:val="32"/>
        </w:rPr>
        <w:t>9.参加人社部门专业技术人员计算机应用能力考试合格的提供合格证书。</w:t>
      </w:r>
    </w:p>
    <w:p>
      <w:pPr>
        <w:spacing w:line="560" w:lineRule="exact"/>
        <w:ind w:firstLine="640" w:firstLineChars="200"/>
        <w:rPr>
          <w:rFonts w:eastAsia="仿宋_GB2312"/>
          <w:sz w:val="32"/>
          <w:szCs w:val="32"/>
        </w:rPr>
      </w:pPr>
      <w:r>
        <w:rPr>
          <w:rFonts w:eastAsia="仿宋_GB2312"/>
          <w:sz w:val="32"/>
          <w:szCs w:val="32"/>
        </w:rPr>
        <w:t>10.“三援”、东西部扶贫协作、公共卫生事件防控一线等政府部门特定工作任务的提供派遣通知及考核表等相关辅证材料。</w:t>
      </w:r>
    </w:p>
    <w:p>
      <w:pPr>
        <w:spacing w:line="560" w:lineRule="exact"/>
        <w:ind w:firstLine="640" w:firstLineChars="200"/>
        <w:rPr>
          <w:rFonts w:eastAsia="仿宋_GB2312"/>
          <w:sz w:val="32"/>
          <w:szCs w:val="32"/>
        </w:rPr>
      </w:pPr>
      <w:r>
        <w:rPr>
          <w:rFonts w:eastAsia="仿宋_GB2312"/>
          <w:sz w:val="32"/>
          <w:szCs w:val="32"/>
        </w:rPr>
        <w:t>11.提升学历层次继续深造的，提供学习课程成绩单;参加专业技术人员职业资格考试的，提供考试成绩单。</w:t>
      </w:r>
    </w:p>
    <w:p>
      <w:pPr>
        <w:spacing w:line="560" w:lineRule="exact"/>
        <w:ind w:firstLine="640" w:firstLineChars="200"/>
        <w:rPr>
          <w:rFonts w:eastAsia="仿宋_GB2312"/>
          <w:sz w:val="32"/>
          <w:szCs w:val="32"/>
        </w:rPr>
      </w:pPr>
      <w:r>
        <w:rPr>
          <w:rFonts w:eastAsia="仿宋_GB2312"/>
          <w:sz w:val="32"/>
          <w:szCs w:val="32"/>
        </w:rPr>
        <w:t>12.海外交换（交流）的提供邀请函、回执（或学习资料，或邀请方颁发的结业证书等）。</w:t>
      </w:r>
    </w:p>
    <w:p>
      <w:pPr>
        <w:spacing w:line="560" w:lineRule="exact"/>
        <w:ind w:firstLine="640" w:firstLineChars="200"/>
        <w:rPr>
          <w:rFonts w:eastAsia="黑体"/>
          <w:sz w:val="32"/>
          <w:szCs w:val="32"/>
        </w:rPr>
      </w:pPr>
      <w:r>
        <w:rPr>
          <w:rFonts w:eastAsia="黑体"/>
          <w:sz w:val="32"/>
          <w:szCs w:val="32"/>
        </w:rPr>
        <w:t>二、学时（分）折算细则</w:t>
      </w:r>
    </w:p>
    <w:p>
      <w:pPr>
        <w:spacing w:line="560" w:lineRule="exact"/>
        <w:ind w:firstLine="640" w:firstLineChars="200"/>
        <w:rPr>
          <w:rFonts w:eastAsia="仿宋_GB2312"/>
          <w:sz w:val="32"/>
          <w:szCs w:val="32"/>
        </w:rPr>
      </w:pPr>
      <w:r>
        <w:rPr>
          <w:rFonts w:eastAsia="仿宋_GB2312"/>
          <w:sz w:val="32"/>
          <w:szCs w:val="32"/>
        </w:rPr>
        <w:t>1.参加有关培训、会议等，每天折算为10学时（分），半天折算4学时（分），晚上折算2学时（分）。</w:t>
      </w:r>
    </w:p>
    <w:p>
      <w:pPr>
        <w:spacing w:line="560" w:lineRule="exact"/>
        <w:ind w:firstLine="640" w:firstLineChars="200"/>
        <w:rPr>
          <w:rFonts w:eastAsia="仿宋_GB2312"/>
          <w:sz w:val="32"/>
          <w:szCs w:val="32"/>
        </w:rPr>
      </w:pPr>
      <w:r>
        <w:rPr>
          <w:rFonts w:eastAsia="仿宋_GB2312"/>
          <w:sz w:val="32"/>
          <w:szCs w:val="32"/>
        </w:rPr>
        <w:t>2.参加政府或行业组织课题研究与项目开发，结题当年可视同参加专业科目培训，课题项目主持人员可折算90学时（分）;参与人员折算60学时（分）。</w:t>
      </w:r>
    </w:p>
    <w:p>
      <w:pPr>
        <w:spacing w:line="560" w:lineRule="exact"/>
        <w:ind w:firstLine="640" w:firstLineChars="200"/>
        <w:rPr>
          <w:rFonts w:eastAsia="仿宋_GB2312"/>
          <w:sz w:val="32"/>
          <w:szCs w:val="32"/>
        </w:rPr>
      </w:pPr>
      <w:r>
        <w:rPr>
          <w:rFonts w:eastAsia="仿宋_GB2312"/>
          <w:sz w:val="32"/>
          <w:szCs w:val="32"/>
        </w:rPr>
        <w:t>3.出版着作（译作）或教材的，出版当年可视同参加专业科目培训，独立或第一作者可折算90学时（分），其他作者可折算60学时（分）。在国内统一刊号刊物发表论文的，当年可视同参加专业科目培训，独立或第一作者的每篇折算专业科目30学时（分）;其他作者的折算专业科目10学时（分）。</w:t>
      </w:r>
    </w:p>
    <w:p>
      <w:pPr>
        <w:spacing w:line="560" w:lineRule="exact"/>
        <w:ind w:firstLine="640" w:firstLineChars="200"/>
        <w:rPr>
          <w:rFonts w:eastAsia="仿宋_GB2312"/>
          <w:sz w:val="32"/>
          <w:szCs w:val="32"/>
        </w:rPr>
      </w:pPr>
      <w:r>
        <w:rPr>
          <w:rFonts w:eastAsia="仿宋_GB2312"/>
          <w:sz w:val="32"/>
          <w:szCs w:val="32"/>
        </w:rPr>
        <w:t>4.获得专利授予的，当年视同参加专业科目培训，独立或第一完成人每项折算90学时（分）;其他完成人折算60学时（分）。</w:t>
      </w:r>
    </w:p>
    <w:p>
      <w:pPr>
        <w:spacing w:line="560" w:lineRule="exact"/>
        <w:ind w:firstLine="640" w:firstLineChars="200"/>
        <w:rPr>
          <w:rFonts w:eastAsia="仿宋_GB2312"/>
          <w:sz w:val="32"/>
          <w:szCs w:val="32"/>
        </w:rPr>
      </w:pPr>
      <w:r>
        <w:rPr>
          <w:rFonts w:eastAsia="仿宋_GB2312"/>
          <w:sz w:val="32"/>
          <w:szCs w:val="32"/>
        </w:rPr>
        <w:t>5.获省部级及以上科技（社科）奖项的，当年可视同参加专业科目培训，折算90学时（分）。获地厅级科技（社科）奖项的，前五名完成人每项折算专业科目60学时（分）;其他完成人折算专业科目30学时（分）。</w:t>
      </w:r>
    </w:p>
    <w:p>
      <w:pPr>
        <w:spacing w:line="560" w:lineRule="exact"/>
        <w:ind w:firstLine="640" w:firstLineChars="200"/>
        <w:rPr>
          <w:rFonts w:eastAsia="仿宋_GB2312"/>
          <w:sz w:val="32"/>
          <w:szCs w:val="32"/>
        </w:rPr>
      </w:pPr>
      <w:r>
        <w:rPr>
          <w:rFonts w:eastAsia="仿宋_GB2312"/>
          <w:sz w:val="32"/>
          <w:szCs w:val="32"/>
        </w:rPr>
        <w:t>6.参加人社部门专业技术人员计算机应用能力考试合格的，每个模块折算专业科目20学时（分）。</w:t>
      </w:r>
    </w:p>
    <w:p>
      <w:pPr>
        <w:spacing w:line="560" w:lineRule="exact"/>
        <w:ind w:firstLine="640" w:firstLineChars="200"/>
        <w:rPr>
          <w:rFonts w:eastAsia="仿宋_GB2312"/>
          <w:sz w:val="32"/>
          <w:szCs w:val="32"/>
        </w:rPr>
      </w:pPr>
      <w:r>
        <w:rPr>
          <w:rFonts w:eastAsia="仿宋_GB2312"/>
          <w:sz w:val="32"/>
          <w:szCs w:val="32"/>
        </w:rPr>
        <w:t>7.参加“三援”（援藏、援疆、援外）、东西部扶贫协作等省级以上特定工作任务人员工作时间为6个月的，考核合格者视为完成当年继续教育90学时（分）;超过1年以上的，考核合格者视为完成外派期间所有年度继续教育90学时（分）。省级以上特定任务有另行规定的从其规定。</w:t>
      </w:r>
    </w:p>
    <w:p>
      <w:pPr>
        <w:spacing w:line="560" w:lineRule="exact"/>
        <w:ind w:firstLine="640" w:firstLineChars="200"/>
        <w:rPr>
          <w:rFonts w:eastAsia="仿宋_GB2312"/>
          <w:sz w:val="32"/>
          <w:szCs w:val="32"/>
        </w:rPr>
      </w:pPr>
      <w:r>
        <w:rPr>
          <w:rFonts w:eastAsia="仿宋_GB2312"/>
          <w:sz w:val="32"/>
          <w:szCs w:val="32"/>
        </w:rPr>
        <w:t>8.参加国家教育行政主管部门承认的学历（学位）教育，当年度通过一门学习课程或考核的，可折算专业科目90学时（分）。</w:t>
      </w:r>
    </w:p>
    <w:p>
      <w:pPr>
        <w:spacing w:line="560" w:lineRule="exact"/>
        <w:ind w:firstLine="640" w:firstLineChars="200"/>
        <w:rPr>
          <w:rFonts w:eastAsia="仿宋_GB2312"/>
          <w:sz w:val="32"/>
          <w:szCs w:val="32"/>
        </w:rPr>
      </w:pPr>
      <w:r>
        <w:rPr>
          <w:rFonts w:eastAsia="仿宋_GB2312"/>
          <w:sz w:val="32"/>
          <w:szCs w:val="32"/>
        </w:rPr>
        <w:t>9.参加专业技术人员职业资格考试，当年度通过一门考试课程的，可折算专业科目90学时（分）。</w:t>
      </w:r>
    </w:p>
    <w:p>
      <w:pPr>
        <w:spacing w:line="560" w:lineRule="exact"/>
        <w:ind w:firstLine="640" w:firstLineChars="200"/>
        <w:rPr>
          <w:rFonts w:eastAsia="仿宋_GB2312"/>
          <w:sz w:val="32"/>
          <w:szCs w:val="32"/>
        </w:rPr>
      </w:pPr>
    </w:p>
    <w:p>
      <w:pPr>
        <w:spacing w:line="560" w:lineRule="exact"/>
        <w:ind w:firstLine="600" w:firstLineChars="200"/>
        <w:rPr>
          <w:rFonts w:eastAsia="仿宋_GB2312"/>
          <w:sz w:val="30"/>
          <w:szCs w:val="30"/>
        </w:rPr>
      </w:pPr>
    </w:p>
    <w:p>
      <w:pPr>
        <w:spacing w:line="440" w:lineRule="exact"/>
        <w:ind w:firstLine="600" w:firstLineChars="200"/>
        <w:rPr>
          <w:rFonts w:eastAsia="仿宋_GB2312"/>
          <w:sz w:val="30"/>
          <w:szCs w:val="30"/>
        </w:rPr>
        <w:sectPr>
          <w:footerReference r:id="rId3" w:type="default"/>
          <w:pgSz w:w="11906" w:h="16838"/>
          <w:pgMar w:top="2098" w:right="1474" w:bottom="1985" w:left="1588" w:header="851" w:footer="992" w:gutter="0"/>
          <w:cols w:space="720" w:num="1"/>
          <w:docGrid w:type="lines" w:linePitch="312" w:charSpace="0"/>
        </w:sectPr>
      </w:pPr>
    </w:p>
    <w:p>
      <w:pPr>
        <w:jc w:val="left"/>
        <w:rPr>
          <w:rFonts w:eastAsia="黑体"/>
          <w:sz w:val="32"/>
          <w:szCs w:val="32"/>
        </w:rPr>
      </w:pPr>
      <w:r>
        <w:rPr>
          <w:rFonts w:eastAsia="黑体"/>
          <w:sz w:val="32"/>
          <w:szCs w:val="32"/>
        </w:rPr>
        <w:t>附件3</w:t>
      </w:r>
    </w:p>
    <w:p>
      <w:pPr>
        <w:snapToGrid w:val="0"/>
        <w:spacing w:afterLines="50" w:line="600" w:lineRule="exact"/>
        <w:jc w:val="center"/>
        <w:rPr>
          <w:rFonts w:eastAsia="仿宋_GB2312"/>
          <w:sz w:val="32"/>
          <w:szCs w:val="32"/>
        </w:rPr>
      </w:pPr>
      <w:r>
        <w:rPr>
          <w:rFonts w:eastAsia="方正小标宋简体"/>
          <w:sz w:val="44"/>
          <w:szCs w:val="44"/>
        </w:rPr>
        <w:t>湖南安全技术职业学院专技人员继续教育登记手册实名制申领表</w:t>
      </w:r>
    </w:p>
    <w:p>
      <w:pPr>
        <w:spacing w:line="600" w:lineRule="exact"/>
        <w:jc w:val="left"/>
        <w:rPr>
          <w:rFonts w:eastAsia="仿宋_GB2312"/>
          <w:sz w:val="44"/>
          <w:szCs w:val="44"/>
        </w:rPr>
      </w:pPr>
      <w:r>
        <w:rPr>
          <w:rFonts w:eastAsia="仿宋_GB2312"/>
          <w:sz w:val="32"/>
          <w:szCs w:val="32"/>
        </w:rPr>
        <w:t>所在部门：                          联系人：                  联系电话：</w:t>
      </w:r>
    </w:p>
    <w:tbl>
      <w:tblPr>
        <w:tblStyle w:val="5"/>
        <w:tblW w:w="5000" w:type="pct"/>
        <w:jc w:val="center"/>
        <w:tblLayout w:type="autofit"/>
        <w:tblCellMar>
          <w:top w:w="0" w:type="dxa"/>
          <w:left w:w="108" w:type="dxa"/>
          <w:bottom w:w="0" w:type="dxa"/>
          <w:right w:w="108" w:type="dxa"/>
        </w:tblCellMar>
      </w:tblPr>
      <w:tblGrid>
        <w:gridCol w:w="1421"/>
        <w:gridCol w:w="1633"/>
        <w:gridCol w:w="4093"/>
        <w:gridCol w:w="3215"/>
        <w:gridCol w:w="2601"/>
        <w:gridCol w:w="1390"/>
      </w:tblGrid>
      <w:tr>
        <w:tblPrEx>
          <w:tblCellMar>
            <w:top w:w="0" w:type="dxa"/>
            <w:left w:w="108" w:type="dxa"/>
            <w:bottom w:w="0" w:type="dxa"/>
            <w:right w:w="108" w:type="dxa"/>
          </w:tblCellMar>
        </w:tblPrEx>
        <w:trPr>
          <w:trHeight w:val="469" w:hRule="atLeast"/>
          <w:jc w:val="center"/>
        </w:trPr>
        <w:tc>
          <w:tcPr>
            <w:tcW w:w="495"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eastAsia="黑体"/>
                <w:color w:val="000000"/>
                <w:sz w:val="26"/>
                <w:szCs w:val="26"/>
              </w:rPr>
            </w:pPr>
            <w:r>
              <w:rPr>
                <w:rFonts w:eastAsia="黑体"/>
                <w:color w:val="000000"/>
                <w:kern w:val="0"/>
                <w:sz w:val="26"/>
                <w:szCs w:val="26"/>
              </w:rPr>
              <w:t>序号</w:t>
            </w:r>
          </w:p>
        </w:tc>
        <w:tc>
          <w:tcPr>
            <w:tcW w:w="569"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eastAsia="黑体"/>
                <w:color w:val="000000"/>
                <w:sz w:val="26"/>
                <w:szCs w:val="26"/>
              </w:rPr>
            </w:pPr>
            <w:r>
              <w:rPr>
                <w:rFonts w:eastAsia="黑体"/>
                <w:color w:val="000000"/>
                <w:sz w:val="26"/>
                <w:szCs w:val="26"/>
              </w:rPr>
              <w:t>姓名</w:t>
            </w:r>
          </w:p>
        </w:tc>
        <w:tc>
          <w:tcPr>
            <w:tcW w:w="1426" w:type="pct"/>
            <w:tcBorders>
              <w:top w:val="single" w:color="auto" w:sz="4" w:space="0"/>
              <w:left w:val="single" w:color="auto"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eastAsia="黑体"/>
                <w:color w:val="000000"/>
                <w:kern w:val="0"/>
                <w:sz w:val="26"/>
                <w:szCs w:val="26"/>
              </w:rPr>
            </w:pPr>
            <w:r>
              <w:rPr>
                <w:rFonts w:eastAsia="黑体"/>
                <w:color w:val="000000"/>
                <w:kern w:val="0"/>
                <w:sz w:val="26"/>
                <w:szCs w:val="26"/>
              </w:rPr>
              <w:t>身份证号</w:t>
            </w:r>
          </w:p>
        </w:tc>
        <w:tc>
          <w:tcPr>
            <w:tcW w:w="1120" w:type="pct"/>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eastAsia="黑体"/>
                <w:color w:val="000000"/>
                <w:kern w:val="0"/>
                <w:sz w:val="26"/>
                <w:szCs w:val="26"/>
              </w:rPr>
            </w:pPr>
            <w:r>
              <w:rPr>
                <w:rFonts w:eastAsia="黑体"/>
                <w:color w:val="000000"/>
                <w:kern w:val="0"/>
                <w:sz w:val="26"/>
                <w:szCs w:val="26"/>
              </w:rPr>
              <w:t>职称名称</w:t>
            </w:r>
          </w:p>
        </w:tc>
        <w:tc>
          <w:tcPr>
            <w:tcW w:w="906" w:type="pct"/>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eastAsia="黑体"/>
                <w:color w:val="000000"/>
                <w:kern w:val="0"/>
                <w:sz w:val="26"/>
                <w:szCs w:val="26"/>
              </w:rPr>
            </w:pPr>
            <w:r>
              <w:rPr>
                <w:rFonts w:eastAsia="黑体"/>
                <w:color w:val="000000"/>
                <w:kern w:val="0"/>
                <w:sz w:val="26"/>
                <w:szCs w:val="26"/>
              </w:rPr>
              <w:t>职称取得时间</w:t>
            </w:r>
          </w:p>
        </w:tc>
        <w:tc>
          <w:tcPr>
            <w:tcW w:w="485" w:type="pct"/>
            <w:tcBorders>
              <w:top w:val="single" w:color="auto" w:sz="4" w:space="0"/>
              <w:left w:val="single" w:color="auto" w:sz="4" w:space="0"/>
              <w:bottom w:val="single" w:color="000000" w:sz="4" w:space="0"/>
              <w:right w:val="single" w:color="auto" w:sz="4" w:space="0"/>
            </w:tcBorders>
            <w:vAlign w:val="center"/>
          </w:tcPr>
          <w:p>
            <w:pPr>
              <w:widowControl/>
              <w:jc w:val="center"/>
              <w:textAlignment w:val="center"/>
              <w:rPr>
                <w:rFonts w:eastAsia="黑体"/>
                <w:color w:val="000000"/>
                <w:kern w:val="0"/>
                <w:sz w:val="26"/>
                <w:szCs w:val="26"/>
              </w:rPr>
            </w:pPr>
            <w:r>
              <w:rPr>
                <w:rFonts w:eastAsia="黑体"/>
                <w:color w:val="000000"/>
                <w:kern w:val="0"/>
                <w:sz w:val="26"/>
                <w:szCs w:val="26"/>
              </w:rPr>
              <w:t>备注</w:t>
            </w:r>
          </w:p>
        </w:tc>
      </w:tr>
      <w:tr>
        <w:tblPrEx>
          <w:tblCellMar>
            <w:top w:w="0" w:type="dxa"/>
            <w:left w:w="108" w:type="dxa"/>
            <w:bottom w:w="0" w:type="dxa"/>
            <w:right w:w="108" w:type="dxa"/>
          </w:tblCellMar>
        </w:tblPrEx>
        <w:trPr>
          <w:trHeight w:val="595" w:hRule="atLeast"/>
          <w:jc w:val="center"/>
        </w:trPr>
        <w:tc>
          <w:tcPr>
            <w:tcW w:w="495" w:type="pct"/>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widowControl/>
              <w:spacing w:line="260" w:lineRule="exact"/>
              <w:ind w:right="258" w:rightChars="123"/>
              <w:jc w:val="center"/>
              <w:textAlignment w:val="center"/>
              <w:rPr>
                <w:rFonts w:eastAsia="方正仿宋简体"/>
                <w:color w:val="000000"/>
                <w:sz w:val="24"/>
              </w:rPr>
            </w:pPr>
          </w:p>
        </w:tc>
        <w:tc>
          <w:tcPr>
            <w:tcW w:w="569" w:type="pct"/>
            <w:tcBorders>
              <w:top w:val="single" w:color="000000" w:sz="4" w:space="0"/>
              <w:left w:val="single" w:color="000000" w:sz="4" w:space="0"/>
              <w:right w:val="single" w:color="auto" w:sz="4" w:space="0"/>
            </w:tcBorders>
            <w:vAlign w:val="center"/>
          </w:tcPr>
          <w:p>
            <w:pPr>
              <w:spacing w:line="260" w:lineRule="exact"/>
              <w:jc w:val="center"/>
              <w:rPr>
                <w:rFonts w:eastAsia="方正仿宋简体"/>
                <w:color w:val="000000"/>
                <w:sz w:val="24"/>
              </w:rPr>
            </w:pPr>
          </w:p>
        </w:tc>
        <w:tc>
          <w:tcPr>
            <w:tcW w:w="1426" w:type="pct"/>
            <w:tcBorders>
              <w:top w:val="single" w:color="000000" w:sz="4" w:space="0"/>
              <w:left w:val="single" w:color="auto" w:sz="4" w:space="0"/>
              <w:right w:val="single" w:color="auto" w:sz="4" w:space="0"/>
            </w:tcBorders>
            <w:tcMar>
              <w:top w:w="15" w:type="dxa"/>
              <w:left w:w="15" w:type="dxa"/>
              <w:bottom w:w="15" w:type="dxa"/>
              <w:right w:w="15" w:type="dxa"/>
            </w:tcMar>
            <w:vAlign w:val="center"/>
          </w:tcPr>
          <w:p>
            <w:pPr>
              <w:widowControl/>
              <w:spacing w:line="260" w:lineRule="exact"/>
              <w:jc w:val="center"/>
              <w:textAlignment w:val="center"/>
              <w:rPr>
                <w:rFonts w:eastAsia="方正仿宋简体"/>
                <w:color w:val="000000"/>
                <w:kern w:val="0"/>
                <w:sz w:val="24"/>
              </w:rPr>
            </w:pPr>
          </w:p>
        </w:tc>
        <w:tc>
          <w:tcPr>
            <w:tcW w:w="1120" w:type="pct"/>
            <w:tcBorders>
              <w:top w:val="single" w:color="000000" w:sz="4" w:space="0"/>
              <w:left w:val="single" w:color="auto" w:sz="4" w:space="0"/>
              <w:right w:val="single" w:color="auto" w:sz="4" w:space="0"/>
            </w:tcBorders>
            <w:vAlign w:val="center"/>
          </w:tcPr>
          <w:p>
            <w:pPr>
              <w:widowControl/>
              <w:spacing w:line="260" w:lineRule="exact"/>
              <w:jc w:val="center"/>
              <w:textAlignment w:val="center"/>
              <w:rPr>
                <w:rFonts w:eastAsia="方正仿宋简体"/>
                <w:color w:val="000000"/>
                <w:kern w:val="0"/>
                <w:sz w:val="24"/>
              </w:rPr>
            </w:pPr>
          </w:p>
        </w:tc>
        <w:tc>
          <w:tcPr>
            <w:tcW w:w="906" w:type="pct"/>
            <w:tcBorders>
              <w:top w:val="single" w:color="000000" w:sz="4" w:space="0"/>
              <w:left w:val="single" w:color="auto" w:sz="4" w:space="0"/>
              <w:right w:val="single" w:color="auto" w:sz="4" w:space="0"/>
            </w:tcBorders>
            <w:vAlign w:val="center"/>
          </w:tcPr>
          <w:p>
            <w:pPr>
              <w:widowControl/>
              <w:spacing w:line="260" w:lineRule="exact"/>
              <w:jc w:val="center"/>
              <w:textAlignment w:val="center"/>
              <w:rPr>
                <w:rFonts w:eastAsia="方正仿宋简体"/>
                <w:color w:val="000000"/>
                <w:kern w:val="0"/>
                <w:sz w:val="24"/>
              </w:rPr>
            </w:pPr>
          </w:p>
        </w:tc>
        <w:tc>
          <w:tcPr>
            <w:tcW w:w="485" w:type="pct"/>
            <w:tcBorders>
              <w:top w:val="single" w:color="000000" w:sz="4" w:space="0"/>
              <w:left w:val="single" w:color="auto" w:sz="4" w:space="0"/>
              <w:right w:val="single" w:color="auto" w:sz="4" w:space="0"/>
            </w:tcBorders>
            <w:vAlign w:val="center"/>
          </w:tcPr>
          <w:p>
            <w:pPr>
              <w:widowControl/>
              <w:jc w:val="center"/>
              <w:textAlignment w:val="center"/>
              <w:rPr>
                <w:rFonts w:eastAsia="方正仿宋简体"/>
                <w:color w:val="000000"/>
                <w:kern w:val="0"/>
                <w:sz w:val="24"/>
              </w:rPr>
            </w:pPr>
          </w:p>
        </w:tc>
      </w:tr>
      <w:tr>
        <w:tblPrEx>
          <w:tblCellMar>
            <w:top w:w="0" w:type="dxa"/>
            <w:left w:w="108" w:type="dxa"/>
            <w:bottom w:w="0" w:type="dxa"/>
            <w:right w:w="108" w:type="dxa"/>
          </w:tblCellMar>
        </w:tblPrEx>
        <w:trPr>
          <w:trHeight w:val="595" w:hRule="atLeast"/>
          <w:jc w:val="center"/>
        </w:trPr>
        <w:tc>
          <w:tcPr>
            <w:tcW w:w="495"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60" w:lineRule="exact"/>
              <w:jc w:val="center"/>
              <w:textAlignment w:val="center"/>
              <w:rPr>
                <w:rFonts w:eastAsia="方正仿宋简体"/>
                <w:color w:val="000000"/>
                <w:sz w:val="24"/>
              </w:rPr>
            </w:pPr>
          </w:p>
        </w:tc>
        <w:tc>
          <w:tcPr>
            <w:tcW w:w="569" w:type="pct"/>
            <w:tcBorders>
              <w:top w:val="single" w:color="000000" w:sz="4" w:space="0"/>
              <w:left w:val="single" w:color="000000" w:sz="4" w:space="0"/>
              <w:bottom w:val="single" w:color="000000" w:sz="4" w:space="0"/>
              <w:right w:val="single" w:color="auto" w:sz="4" w:space="0"/>
            </w:tcBorders>
            <w:vAlign w:val="center"/>
          </w:tcPr>
          <w:p>
            <w:pPr>
              <w:spacing w:line="260" w:lineRule="exact"/>
              <w:jc w:val="center"/>
              <w:rPr>
                <w:rFonts w:eastAsia="方正仿宋简体"/>
                <w:sz w:val="24"/>
              </w:rPr>
            </w:pPr>
          </w:p>
        </w:tc>
        <w:tc>
          <w:tcPr>
            <w:tcW w:w="1426" w:type="pct"/>
            <w:tcBorders>
              <w:top w:val="single" w:color="000000" w:sz="4" w:space="0"/>
              <w:left w:val="single" w:color="auto" w:sz="4" w:space="0"/>
              <w:bottom w:val="single" w:color="000000" w:sz="4" w:space="0"/>
              <w:right w:val="single" w:color="auto" w:sz="4" w:space="0"/>
            </w:tcBorders>
            <w:tcMar>
              <w:top w:w="15" w:type="dxa"/>
              <w:left w:w="15" w:type="dxa"/>
              <w:bottom w:w="15" w:type="dxa"/>
              <w:right w:w="15" w:type="dxa"/>
            </w:tcMar>
            <w:vAlign w:val="center"/>
          </w:tcPr>
          <w:p>
            <w:pPr>
              <w:widowControl/>
              <w:spacing w:line="260" w:lineRule="exact"/>
              <w:jc w:val="center"/>
              <w:textAlignment w:val="center"/>
              <w:rPr>
                <w:rFonts w:eastAsia="方正仿宋简体"/>
                <w:color w:val="000000"/>
                <w:kern w:val="0"/>
                <w:sz w:val="24"/>
              </w:rPr>
            </w:pPr>
          </w:p>
        </w:tc>
        <w:tc>
          <w:tcPr>
            <w:tcW w:w="1120" w:type="pct"/>
            <w:tcBorders>
              <w:top w:val="single" w:color="000000" w:sz="4" w:space="0"/>
              <w:left w:val="single" w:color="auto" w:sz="4" w:space="0"/>
              <w:bottom w:val="single" w:color="000000" w:sz="4" w:space="0"/>
              <w:right w:val="single" w:color="auto" w:sz="4" w:space="0"/>
            </w:tcBorders>
            <w:vAlign w:val="center"/>
          </w:tcPr>
          <w:p>
            <w:pPr>
              <w:widowControl/>
              <w:spacing w:line="260" w:lineRule="exact"/>
              <w:jc w:val="center"/>
              <w:textAlignment w:val="center"/>
              <w:rPr>
                <w:rFonts w:eastAsia="方正仿宋简体"/>
                <w:color w:val="000000"/>
                <w:kern w:val="0"/>
                <w:sz w:val="24"/>
              </w:rPr>
            </w:pPr>
          </w:p>
        </w:tc>
        <w:tc>
          <w:tcPr>
            <w:tcW w:w="906" w:type="pct"/>
            <w:tcBorders>
              <w:top w:val="single" w:color="000000" w:sz="4" w:space="0"/>
              <w:left w:val="single" w:color="auto" w:sz="4" w:space="0"/>
              <w:bottom w:val="single" w:color="000000" w:sz="4" w:space="0"/>
              <w:right w:val="single" w:color="auto" w:sz="4" w:space="0"/>
            </w:tcBorders>
            <w:vAlign w:val="center"/>
          </w:tcPr>
          <w:p>
            <w:pPr>
              <w:widowControl/>
              <w:spacing w:line="260" w:lineRule="exact"/>
              <w:jc w:val="center"/>
              <w:textAlignment w:val="center"/>
              <w:rPr>
                <w:rFonts w:eastAsia="方正仿宋简体"/>
                <w:color w:val="000000"/>
                <w:kern w:val="0"/>
                <w:sz w:val="24"/>
              </w:rPr>
            </w:pPr>
          </w:p>
        </w:tc>
        <w:tc>
          <w:tcPr>
            <w:tcW w:w="485"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eastAsia="方正仿宋简体"/>
                <w:color w:val="000000"/>
                <w:kern w:val="0"/>
                <w:sz w:val="24"/>
              </w:rPr>
            </w:pPr>
          </w:p>
        </w:tc>
      </w:tr>
      <w:tr>
        <w:tblPrEx>
          <w:tblCellMar>
            <w:top w:w="0" w:type="dxa"/>
            <w:left w:w="108" w:type="dxa"/>
            <w:bottom w:w="0" w:type="dxa"/>
            <w:right w:w="108" w:type="dxa"/>
          </w:tblCellMar>
        </w:tblPrEx>
        <w:trPr>
          <w:trHeight w:val="595" w:hRule="atLeast"/>
          <w:jc w:val="center"/>
        </w:trPr>
        <w:tc>
          <w:tcPr>
            <w:tcW w:w="495"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60" w:lineRule="exact"/>
              <w:jc w:val="center"/>
              <w:textAlignment w:val="center"/>
              <w:rPr>
                <w:rFonts w:eastAsia="方正仿宋简体"/>
                <w:color w:val="000000"/>
                <w:sz w:val="24"/>
              </w:rPr>
            </w:pPr>
          </w:p>
        </w:tc>
        <w:tc>
          <w:tcPr>
            <w:tcW w:w="569" w:type="pct"/>
            <w:tcBorders>
              <w:top w:val="single" w:color="000000" w:sz="4" w:space="0"/>
              <w:left w:val="single" w:color="000000" w:sz="4" w:space="0"/>
              <w:bottom w:val="single" w:color="000000" w:sz="4" w:space="0"/>
              <w:right w:val="single" w:color="auto" w:sz="4" w:space="0"/>
            </w:tcBorders>
            <w:vAlign w:val="center"/>
          </w:tcPr>
          <w:p>
            <w:pPr>
              <w:spacing w:line="260" w:lineRule="exact"/>
              <w:jc w:val="center"/>
              <w:rPr>
                <w:rFonts w:eastAsia="方正仿宋简体"/>
                <w:color w:val="000000"/>
                <w:sz w:val="24"/>
              </w:rPr>
            </w:pPr>
          </w:p>
        </w:tc>
        <w:tc>
          <w:tcPr>
            <w:tcW w:w="1426" w:type="pct"/>
            <w:tcBorders>
              <w:top w:val="single" w:color="000000" w:sz="4" w:space="0"/>
              <w:left w:val="single" w:color="auto" w:sz="4" w:space="0"/>
              <w:bottom w:val="single" w:color="000000" w:sz="4" w:space="0"/>
              <w:right w:val="single" w:color="auto" w:sz="4" w:space="0"/>
            </w:tcBorders>
            <w:tcMar>
              <w:top w:w="15" w:type="dxa"/>
              <w:left w:w="15" w:type="dxa"/>
              <w:bottom w:w="15" w:type="dxa"/>
              <w:right w:w="15" w:type="dxa"/>
            </w:tcMar>
            <w:vAlign w:val="center"/>
          </w:tcPr>
          <w:p>
            <w:pPr>
              <w:widowControl/>
              <w:spacing w:line="260" w:lineRule="exact"/>
              <w:jc w:val="center"/>
              <w:textAlignment w:val="center"/>
              <w:rPr>
                <w:rFonts w:eastAsia="方正仿宋简体"/>
                <w:color w:val="000000"/>
                <w:kern w:val="0"/>
                <w:sz w:val="24"/>
              </w:rPr>
            </w:pPr>
          </w:p>
        </w:tc>
        <w:tc>
          <w:tcPr>
            <w:tcW w:w="1120" w:type="pct"/>
            <w:tcBorders>
              <w:top w:val="single" w:color="000000" w:sz="4" w:space="0"/>
              <w:left w:val="single" w:color="auto" w:sz="4" w:space="0"/>
              <w:bottom w:val="single" w:color="000000" w:sz="4" w:space="0"/>
              <w:right w:val="single" w:color="auto" w:sz="4" w:space="0"/>
            </w:tcBorders>
            <w:vAlign w:val="center"/>
          </w:tcPr>
          <w:p>
            <w:pPr>
              <w:widowControl/>
              <w:spacing w:line="260" w:lineRule="exact"/>
              <w:jc w:val="center"/>
              <w:textAlignment w:val="center"/>
              <w:rPr>
                <w:rFonts w:eastAsia="方正仿宋简体"/>
                <w:color w:val="000000"/>
                <w:kern w:val="0"/>
                <w:sz w:val="24"/>
              </w:rPr>
            </w:pPr>
          </w:p>
        </w:tc>
        <w:tc>
          <w:tcPr>
            <w:tcW w:w="906" w:type="pct"/>
            <w:tcBorders>
              <w:top w:val="single" w:color="000000" w:sz="4" w:space="0"/>
              <w:left w:val="single" w:color="auto" w:sz="4" w:space="0"/>
              <w:bottom w:val="single" w:color="000000" w:sz="4" w:space="0"/>
              <w:right w:val="single" w:color="auto" w:sz="4" w:space="0"/>
            </w:tcBorders>
            <w:vAlign w:val="center"/>
          </w:tcPr>
          <w:p>
            <w:pPr>
              <w:widowControl/>
              <w:spacing w:line="260" w:lineRule="exact"/>
              <w:jc w:val="center"/>
              <w:textAlignment w:val="center"/>
              <w:rPr>
                <w:rFonts w:eastAsia="方正仿宋简体"/>
                <w:color w:val="000000"/>
                <w:kern w:val="0"/>
                <w:sz w:val="24"/>
              </w:rPr>
            </w:pPr>
          </w:p>
        </w:tc>
        <w:tc>
          <w:tcPr>
            <w:tcW w:w="485"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eastAsia="方正仿宋简体"/>
                <w:color w:val="000000"/>
                <w:kern w:val="0"/>
                <w:sz w:val="24"/>
              </w:rPr>
            </w:pPr>
          </w:p>
        </w:tc>
      </w:tr>
      <w:tr>
        <w:tblPrEx>
          <w:tblCellMar>
            <w:top w:w="0" w:type="dxa"/>
            <w:left w:w="108" w:type="dxa"/>
            <w:bottom w:w="0" w:type="dxa"/>
            <w:right w:w="108" w:type="dxa"/>
          </w:tblCellMar>
        </w:tblPrEx>
        <w:trPr>
          <w:trHeight w:val="595" w:hRule="atLeast"/>
          <w:jc w:val="center"/>
        </w:trPr>
        <w:tc>
          <w:tcPr>
            <w:tcW w:w="495"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60" w:lineRule="exact"/>
              <w:jc w:val="center"/>
              <w:textAlignment w:val="center"/>
              <w:rPr>
                <w:rFonts w:eastAsia="方正仿宋简体"/>
                <w:color w:val="000000"/>
                <w:sz w:val="24"/>
              </w:rPr>
            </w:pPr>
          </w:p>
        </w:tc>
        <w:tc>
          <w:tcPr>
            <w:tcW w:w="569" w:type="pct"/>
            <w:tcBorders>
              <w:top w:val="single" w:color="000000" w:sz="4" w:space="0"/>
              <w:left w:val="single" w:color="000000" w:sz="4" w:space="0"/>
              <w:bottom w:val="single" w:color="000000" w:sz="4" w:space="0"/>
              <w:right w:val="single" w:color="auto" w:sz="4" w:space="0"/>
            </w:tcBorders>
            <w:vAlign w:val="center"/>
          </w:tcPr>
          <w:p>
            <w:pPr>
              <w:spacing w:line="260" w:lineRule="exact"/>
              <w:jc w:val="center"/>
              <w:rPr>
                <w:rFonts w:eastAsia="方正仿宋简体"/>
                <w:color w:val="000000"/>
                <w:sz w:val="24"/>
              </w:rPr>
            </w:pPr>
          </w:p>
        </w:tc>
        <w:tc>
          <w:tcPr>
            <w:tcW w:w="1426" w:type="pct"/>
            <w:tcBorders>
              <w:top w:val="single" w:color="000000" w:sz="4" w:space="0"/>
              <w:left w:val="single" w:color="auto" w:sz="4" w:space="0"/>
              <w:bottom w:val="single" w:color="000000" w:sz="4" w:space="0"/>
              <w:right w:val="single" w:color="auto" w:sz="4" w:space="0"/>
            </w:tcBorders>
            <w:tcMar>
              <w:top w:w="15" w:type="dxa"/>
              <w:left w:w="15" w:type="dxa"/>
              <w:bottom w:w="15" w:type="dxa"/>
              <w:right w:w="15" w:type="dxa"/>
            </w:tcMar>
            <w:vAlign w:val="center"/>
          </w:tcPr>
          <w:p>
            <w:pPr>
              <w:widowControl/>
              <w:spacing w:line="260" w:lineRule="exact"/>
              <w:jc w:val="center"/>
              <w:textAlignment w:val="center"/>
              <w:rPr>
                <w:rFonts w:eastAsia="方正仿宋简体"/>
                <w:color w:val="000000"/>
                <w:kern w:val="0"/>
                <w:sz w:val="24"/>
              </w:rPr>
            </w:pPr>
          </w:p>
        </w:tc>
        <w:tc>
          <w:tcPr>
            <w:tcW w:w="1120" w:type="pct"/>
            <w:tcBorders>
              <w:top w:val="single" w:color="000000" w:sz="4" w:space="0"/>
              <w:left w:val="single" w:color="auto" w:sz="4" w:space="0"/>
              <w:bottom w:val="single" w:color="000000" w:sz="4" w:space="0"/>
              <w:right w:val="single" w:color="auto" w:sz="4" w:space="0"/>
            </w:tcBorders>
            <w:vAlign w:val="center"/>
          </w:tcPr>
          <w:p>
            <w:pPr>
              <w:widowControl/>
              <w:spacing w:line="260" w:lineRule="exact"/>
              <w:jc w:val="center"/>
              <w:textAlignment w:val="center"/>
              <w:rPr>
                <w:rFonts w:eastAsia="方正仿宋简体"/>
                <w:color w:val="000000"/>
                <w:kern w:val="0"/>
                <w:sz w:val="24"/>
              </w:rPr>
            </w:pPr>
          </w:p>
        </w:tc>
        <w:tc>
          <w:tcPr>
            <w:tcW w:w="906" w:type="pct"/>
            <w:tcBorders>
              <w:top w:val="single" w:color="000000" w:sz="4" w:space="0"/>
              <w:left w:val="single" w:color="auto" w:sz="4" w:space="0"/>
              <w:bottom w:val="single" w:color="000000" w:sz="4" w:space="0"/>
              <w:right w:val="single" w:color="auto" w:sz="4" w:space="0"/>
            </w:tcBorders>
            <w:vAlign w:val="center"/>
          </w:tcPr>
          <w:p>
            <w:pPr>
              <w:widowControl/>
              <w:spacing w:line="260" w:lineRule="exact"/>
              <w:jc w:val="center"/>
              <w:textAlignment w:val="center"/>
              <w:rPr>
                <w:rFonts w:eastAsia="方正仿宋简体"/>
                <w:color w:val="000000"/>
                <w:kern w:val="0"/>
                <w:sz w:val="24"/>
              </w:rPr>
            </w:pPr>
          </w:p>
        </w:tc>
        <w:tc>
          <w:tcPr>
            <w:tcW w:w="485"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eastAsia="方正仿宋简体"/>
                <w:color w:val="000000"/>
                <w:kern w:val="0"/>
                <w:sz w:val="24"/>
              </w:rPr>
            </w:pPr>
          </w:p>
        </w:tc>
      </w:tr>
      <w:tr>
        <w:tblPrEx>
          <w:tblCellMar>
            <w:top w:w="0" w:type="dxa"/>
            <w:left w:w="108" w:type="dxa"/>
            <w:bottom w:w="0" w:type="dxa"/>
            <w:right w:w="108" w:type="dxa"/>
          </w:tblCellMar>
        </w:tblPrEx>
        <w:trPr>
          <w:trHeight w:val="595" w:hRule="atLeast"/>
          <w:jc w:val="center"/>
        </w:trPr>
        <w:tc>
          <w:tcPr>
            <w:tcW w:w="495"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60" w:lineRule="exact"/>
              <w:jc w:val="center"/>
              <w:textAlignment w:val="center"/>
              <w:rPr>
                <w:rFonts w:eastAsia="方正仿宋简体"/>
                <w:color w:val="000000"/>
                <w:sz w:val="24"/>
              </w:rPr>
            </w:pPr>
          </w:p>
        </w:tc>
        <w:tc>
          <w:tcPr>
            <w:tcW w:w="569" w:type="pct"/>
            <w:tcBorders>
              <w:top w:val="single" w:color="000000" w:sz="4" w:space="0"/>
              <w:left w:val="single" w:color="000000" w:sz="4" w:space="0"/>
              <w:bottom w:val="single" w:color="000000" w:sz="4" w:space="0"/>
              <w:right w:val="single" w:color="auto" w:sz="4" w:space="0"/>
            </w:tcBorders>
            <w:vAlign w:val="center"/>
          </w:tcPr>
          <w:p>
            <w:pPr>
              <w:spacing w:line="260" w:lineRule="exact"/>
              <w:jc w:val="center"/>
              <w:rPr>
                <w:rFonts w:eastAsia="方正仿宋简体"/>
                <w:color w:val="000000"/>
                <w:sz w:val="24"/>
              </w:rPr>
            </w:pPr>
          </w:p>
        </w:tc>
        <w:tc>
          <w:tcPr>
            <w:tcW w:w="1426" w:type="pct"/>
            <w:tcBorders>
              <w:top w:val="single" w:color="000000" w:sz="4" w:space="0"/>
              <w:left w:val="single" w:color="auto" w:sz="4" w:space="0"/>
              <w:bottom w:val="single" w:color="000000" w:sz="4" w:space="0"/>
              <w:right w:val="single" w:color="auto" w:sz="4" w:space="0"/>
            </w:tcBorders>
            <w:tcMar>
              <w:top w:w="15" w:type="dxa"/>
              <w:left w:w="15" w:type="dxa"/>
              <w:bottom w:w="15" w:type="dxa"/>
              <w:right w:w="15" w:type="dxa"/>
            </w:tcMar>
            <w:vAlign w:val="center"/>
          </w:tcPr>
          <w:p>
            <w:pPr>
              <w:widowControl/>
              <w:spacing w:line="260" w:lineRule="exact"/>
              <w:jc w:val="center"/>
              <w:textAlignment w:val="center"/>
              <w:rPr>
                <w:rFonts w:eastAsia="方正仿宋简体"/>
                <w:color w:val="000000"/>
                <w:kern w:val="0"/>
                <w:sz w:val="24"/>
              </w:rPr>
            </w:pPr>
          </w:p>
        </w:tc>
        <w:tc>
          <w:tcPr>
            <w:tcW w:w="1120" w:type="pct"/>
            <w:tcBorders>
              <w:top w:val="single" w:color="000000" w:sz="4" w:space="0"/>
              <w:left w:val="single" w:color="auto" w:sz="4" w:space="0"/>
              <w:bottom w:val="single" w:color="000000" w:sz="4" w:space="0"/>
              <w:right w:val="single" w:color="auto" w:sz="4" w:space="0"/>
            </w:tcBorders>
            <w:vAlign w:val="center"/>
          </w:tcPr>
          <w:p>
            <w:pPr>
              <w:widowControl/>
              <w:spacing w:line="260" w:lineRule="exact"/>
              <w:jc w:val="center"/>
              <w:textAlignment w:val="center"/>
              <w:rPr>
                <w:rFonts w:eastAsia="方正仿宋简体"/>
                <w:color w:val="000000"/>
                <w:kern w:val="0"/>
                <w:sz w:val="24"/>
              </w:rPr>
            </w:pPr>
          </w:p>
        </w:tc>
        <w:tc>
          <w:tcPr>
            <w:tcW w:w="906" w:type="pct"/>
            <w:tcBorders>
              <w:top w:val="single" w:color="000000" w:sz="4" w:space="0"/>
              <w:left w:val="single" w:color="auto" w:sz="4" w:space="0"/>
              <w:bottom w:val="single" w:color="000000" w:sz="4" w:space="0"/>
              <w:right w:val="single" w:color="auto" w:sz="4" w:space="0"/>
            </w:tcBorders>
            <w:vAlign w:val="center"/>
          </w:tcPr>
          <w:p>
            <w:pPr>
              <w:widowControl/>
              <w:spacing w:line="260" w:lineRule="exact"/>
              <w:jc w:val="center"/>
              <w:textAlignment w:val="center"/>
              <w:rPr>
                <w:rFonts w:eastAsia="方正仿宋简体"/>
                <w:color w:val="000000"/>
                <w:kern w:val="0"/>
                <w:sz w:val="24"/>
              </w:rPr>
            </w:pPr>
          </w:p>
        </w:tc>
        <w:tc>
          <w:tcPr>
            <w:tcW w:w="485"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eastAsia="方正仿宋简体"/>
                <w:color w:val="000000"/>
                <w:kern w:val="0"/>
                <w:sz w:val="24"/>
              </w:rPr>
            </w:pPr>
          </w:p>
        </w:tc>
      </w:tr>
      <w:tr>
        <w:tblPrEx>
          <w:tblCellMar>
            <w:top w:w="0" w:type="dxa"/>
            <w:left w:w="108" w:type="dxa"/>
            <w:bottom w:w="0" w:type="dxa"/>
            <w:right w:w="108" w:type="dxa"/>
          </w:tblCellMar>
        </w:tblPrEx>
        <w:trPr>
          <w:trHeight w:val="595" w:hRule="atLeast"/>
          <w:jc w:val="center"/>
        </w:trPr>
        <w:tc>
          <w:tcPr>
            <w:tcW w:w="495"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60" w:lineRule="exact"/>
              <w:jc w:val="center"/>
              <w:textAlignment w:val="center"/>
              <w:rPr>
                <w:rFonts w:eastAsia="方正仿宋简体"/>
                <w:color w:val="000000"/>
                <w:sz w:val="24"/>
              </w:rPr>
            </w:pPr>
          </w:p>
        </w:tc>
        <w:tc>
          <w:tcPr>
            <w:tcW w:w="569" w:type="pct"/>
            <w:tcBorders>
              <w:top w:val="single" w:color="000000" w:sz="4" w:space="0"/>
              <w:left w:val="single" w:color="000000" w:sz="4" w:space="0"/>
              <w:bottom w:val="single" w:color="000000" w:sz="4" w:space="0"/>
              <w:right w:val="single" w:color="auto" w:sz="4" w:space="0"/>
            </w:tcBorders>
            <w:vAlign w:val="center"/>
          </w:tcPr>
          <w:p>
            <w:pPr>
              <w:spacing w:line="260" w:lineRule="exact"/>
              <w:jc w:val="center"/>
              <w:rPr>
                <w:rFonts w:eastAsia="方正仿宋简体"/>
                <w:color w:val="000000"/>
                <w:sz w:val="24"/>
              </w:rPr>
            </w:pPr>
          </w:p>
        </w:tc>
        <w:tc>
          <w:tcPr>
            <w:tcW w:w="1426" w:type="pct"/>
            <w:tcBorders>
              <w:top w:val="single" w:color="000000" w:sz="4" w:space="0"/>
              <w:left w:val="single" w:color="auto" w:sz="4" w:space="0"/>
              <w:bottom w:val="single" w:color="000000" w:sz="4" w:space="0"/>
              <w:right w:val="single" w:color="auto" w:sz="4" w:space="0"/>
            </w:tcBorders>
            <w:tcMar>
              <w:top w:w="15" w:type="dxa"/>
              <w:left w:w="15" w:type="dxa"/>
              <w:bottom w:w="15" w:type="dxa"/>
              <w:right w:w="15" w:type="dxa"/>
            </w:tcMar>
            <w:vAlign w:val="center"/>
          </w:tcPr>
          <w:p>
            <w:pPr>
              <w:widowControl/>
              <w:spacing w:line="260" w:lineRule="exact"/>
              <w:jc w:val="center"/>
              <w:textAlignment w:val="center"/>
              <w:rPr>
                <w:rFonts w:eastAsia="方正仿宋简体"/>
                <w:color w:val="000000"/>
                <w:kern w:val="0"/>
                <w:sz w:val="24"/>
              </w:rPr>
            </w:pPr>
          </w:p>
        </w:tc>
        <w:tc>
          <w:tcPr>
            <w:tcW w:w="1120" w:type="pct"/>
            <w:tcBorders>
              <w:top w:val="single" w:color="000000" w:sz="4" w:space="0"/>
              <w:left w:val="single" w:color="auto" w:sz="4" w:space="0"/>
              <w:bottom w:val="single" w:color="000000" w:sz="4" w:space="0"/>
              <w:right w:val="single" w:color="auto" w:sz="4" w:space="0"/>
            </w:tcBorders>
            <w:vAlign w:val="center"/>
          </w:tcPr>
          <w:p>
            <w:pPr>
              <w:widowControl/>
              <w:spacing w:line="260" w:lineRule="exact"/>
              <w:jc w:val="center"/>
              <w:textAlignment w:val="center"/>
              <w:rPr>
                <w:rFonts w:eastAsia="方正仿宋简体"/>
                <w:color w:val="000000"/>
                <w:kern w:val="0"/>
                <w:sz w:val="24"/>
              </w:rPr>
            </w:pPr>
          </w:p>
        </w:tc>
        <w:tc>
          <w:tcPr>
            <w:tcW w:w="906" w:type="pct"/>
            <w:tcBorders>
              <w:top w:val="single" w:color="000000" w:sz="4" w:space="0"/>
              <w:left w:val="single" w:color="auto" w:sz="4" w:space="0"/>
              <w:bottom w:val="single" w:color="000000" w:sz="4" w:space="0"/>
              <w:right w:val="single" w:color="auto" w:sz="4" w:space="0"/>
            </w:tcBorders>
            <w:vAlign w:val="center"/>
          </w:tcPr>
          <w:p>
            <w:pPr>
              <w:widowControl/>
              <w:spacing w:line="260" w:lineRule="exact"/>
              <w:jc w:val="center"/>
              <w:textAlignment w:val="center"/>
              <w:rPr>
                <w:rFonts w:eastAsia="方正仿宋简体"/>
                <w:color w:val="000000"/>
                <w:kern w:val="0"/>
                <w:sz w:val="24"/>
              </w:rPr>
            </w:pPr>
          </w:p>
        </w:tc>
        <w:tc>
          <w:tcPr>
            <w:tcW w:w="485"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eastAsia="方正仿宋简体"/>
                <w:color w:val="000000"/>
                <w:kern w:val="0"/>
                <w:sz w:val="24"/>
              </w:rPr>
            </w:pPr>
          </w:p>
        </w:tc>
      </w:tr>
      <w:tr>
        <w:tblPrEx>
          <w:tblCellMar>
            <w:top w:w="0" w:type="dxa"/>
            <w:left w:w="108" w:type="dxa"/>
            <w:bottom w:w="0" w:type="dxa"/>
            <w:right w:w="108" w:type="dxa"/>
          </w:tblCellMar>
        </w:tblPrEx>
        <w:trPr>
          <w:trHeight w:val="595" w:hRule="atLeast"/>
          <w:jc w:val="center"/>
        </w:trPr>
        <w:tc>
          <w:tcPr>
            <w:tcW w:w="495"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60" w:lineRule="exact"/>
              <w:jc w:val="center"/>
              <w:textAlignment w:val="center"/>
              <w:rPr>
                <w:rFonts w:eastAsia="方正仿宋简体"/>
                <w:color w:val="000000"/>
                <w:sz w:val="24"/>
              </w:rPr>
            </w:pPr>
          </w:p>
        </w:tc>
        <w:tc>
          <w:tcPr>
            <w:tcW w:w="569" w:type="pct"/>
            <w:tcBorders>
              <w:top w:val="single" w:color="000000" w:sz="4" w:space="0"/>
              <w:left w:val="single" w:color="000000" w:sz="4" w:space="0"/>
              <w:bottom w:val="single" w:color="000000" w:sz="4" w:space="0"/>
              <w:right w:val="single" w:color="auto" w:sz="4" w:space="0"/>
            </w:tcBorders>
            <w:vAlign w:val="center"/>
          </w:tcPr>
          <w:p>
            <w:pPr>
              <w:spacing w:line="260" w:lineRule="exact"/>
              <w:jc w:val="center"/>
              <w:rPr>
                <w:rFonts w:eastAsia="方正仿宋简体"/>
                <w:color w:val="000000"/>
                <w:sz w:val="24"/>
              </w:rPr>
            </w:pPr>
          </w:p>
        </w:tc>
        <w:tc>
          <w:tcPr>
            <w:tcW w:w="1426" w:type="pct"/>
            <w:tcBorders>
              <w:top w:val="single" w:color="000000" w:sz="4" w:space="0"/>
              <w:left w:val="single" w:color="auto" w:sz="4" w:space="0"/>
              <w:bottom w:val="single" w:color="000000" w:sz="4" w:space="0"/>
              <w:right w:val="single" w:color="auto" w:sz="4" w:space="0"/>
            </w:tcBorders>
            <w:tcMar>
              <w:top w:w="15" w:type="dxa"/>
              <w:left w:w="15" w:type="dxa"/>
              <w:bottom w:w="15" w:type="dxa"/>
              <w:right w:w="15" w:type="dxa"/>
            </w:tcMar>
            <w:vAlign w:val="center"/>
          </w:tcPr>
          <w:p>
            <w:pPr>
              <w:widowControl/>
              <w:spacing w:line="260" w:lineRule="exact"/>
              <w:jc w:val="center"/>
              <w:textAlignment w:val="center"/>
              <w:rPr>
                <w:rFonts w:eastAsia="方正仿宋简体"/>
                <w:color w:val="000000"/>
                <w:kern w:val="0"/>
                <w:sz w:val="24"/>
              </w:rPr>
            </w:pPr>
          </w:p>
        </w:tc>
        <w:tc>
          <w:tcPr>
            <w:tcW w:w="1120" w:type="pct"/>
            <w:tcBorders>
              <w:top w:val="single" w:color="000000" w:sz="4" w:space="0"/>
              <w:left w:val="single" w:color="auto" w:sz="4" w:space="0"/>
              <w:bottom w:val="single" w:color="000000" w:sz="4" w:space="0"/>
              <w:right w:val="single" w:color="auto" w:sz="4" w:space="0"/>
            </w:tcBorders>
            <w:vAlign w:val="center"/>
          </w:tcPr>
          <w:p>
            <w:pPr>
              <w:widowControl/>
              <w:spacing w:line="260" w:lineRule="exact"/>
              <w:jc w:val="center"/>
              <w:textAlignment w:val="center"/>
              <w:rPr>
                <w:rFonts w:eastAsia="方正仿宋简体"/>
                <w:color w:val="000000"/>
                <w:kern w:val="0"/>
                <w:sz w:val="24"/>
              </w:rPr>
            </w:pPr>
          </w:p>
        </w:tc>
        <w:tc>
          <w:tcPr>
            <w:tcW w:w="906" w:type="pct"/>
            <w:tcBorders>
              <w:top w:val="single" w:color="000000" w:sz="4" w:space="0"/>
              <w:left w:val="single" w:color="auto" w:sz="4" w:space="0"/>
              <w:bottom w:val="single" w:color="000000" w:sz="4" w:space="0"/>
              <w:right w:val="single" w:color="auto" w:sz="4" w:space="0"/>
            </w:tcBorders>
            <w:vAlign w:val="center"/>
          </w:tcPr>
          <w:p>
            <w:pPr>
              <w:widowControl/>
              <w:spacing w:line="260" w:lineRule="exact"/>
              <w:jc w:val="center"/>
              <w:textAlignment w:val="center"/>
              <w:rPr>
                <w:rFonts w:eastAsia="方正仿宋简体"/>
                <w:color w:val="000000"/>
                <w:kern w:val="0"/>
                <w:sz w:val="24"/>
              </w:rPr>
            </w:pPr>
          </w:p>
        </w:tc>
        <w:tc>
          <w:tcPr>
            <w:tcW w:w="485"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eastAsia="方正仿宋简体"/>
                <w:color w:val="000000"/>
                <w:kern w:val="0"/>
                <w:sz w:val="24"/>
              </w:rPr>
            </w:pPr>
          </w:p>
        </w:tc>
      </w:tr>
      <w:tr>
        <w:tblPrEx>
          <w:tblCellMar>
            <w:top w:w="0" w:type="dxa"/>
            <w:left w:w="108" w:type="dxa"/>
            <w:bottom w:w="0" w:type="dxa"/>
            <w:right w:w="108" w:type="dxa"/>
          </w:tblCellMar>
        </w:tblPrEx>
        <w:trPr>
          <w:trHeight w:val="595" w:hRule="atLeast"/>
          <w:jc w:val="center"/>
        </w:trPr>
        <w:tc>
          <w:tcPr>
            <w:tcW w:w="495"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60" w:lineRule="exact"/>
              <w:jc w:val="center"/>
              <w:textAlignment w:val="center"/>
              <w:rPr>
                <w:rFonts w:eastAsia="方正仿宋简体"/>
                <w:color w:val="000000"/>
                <w:sz w:val="24"/>
              </w:rPr>
            </w:pPr>
          </w:p>
          <w:p>
            <w:pPr>
              <w:widowControl/>
              <w:spacing w:line="260" w:lineRule="exact"/>
              <w:jc w:val="center"/>
              <w:textAlignment w:val="center"/>
              <w:rPr>
                <w:rFonts w:eastAsia="方正仿宋简体"/>
                <w:color w:val="000000"/>
                <w:sz w:val="24"/>
              </w:rPr>
            </w:pPr>
          </w:p>
        </w:tc>
        <w:tc>
          <w:tcPr>
            <w:tcW w:w="569" w:type="pct"/>
            <w:tcBorders>
              <w:top w:val="single" w:color="000000" w:sz="4" w:space="0"/>
              <w:left w:val="single" w:color="000000" w:sz="4" w:space="0"/>
              <w:bottom w:val="single" w:color="000000" w:sz="4" w:space="0"/>
              <w:right w:val="single" w:color="auto" w:sz="4" w:space="0"/>
            </w:tcBorders>
            <w:vAlign w:val="center"/>
          </w:tcPr>
          <w:p>
            <w:pPr>
              <w:spacing w:line="260" w:lineRule="exact"/>
              <w:jc w:val="center"/>
              <w:rPr>
                <w:rFonts w:eastAsia="方正仿宋简体"/>
                <w:color w:val="000000"/>
                <w:sz w:val="24"/>
              </w:rPr>
            </w:pPr>
          </w:p>
        </w:tc>
        <w:tc>
          <w:tcPr>
            <w:tcW w:w="1426" w:type="pct"/>
            <w:tcBorders>
              <w:top w:val="single" w:color="000000" w:sz="4" w:space="0"/>
              <w:left w:val="single" w:color="auto" w:sz="4" w:space="0"/>
              <w:bottom w:val="single" w:color="000000" w:sz="4" w:space="0"/>
              <w:right w:val="single" w:color="auto" w:sz="4" w:space="0"/>
            </w:tcBorders>
            <w:tcMar>
              <w:top w:w="15" w:type="dxa"/>
              <w:left w:w="15" w:type="dxa"/>
              <w:bottom w:w="15" w:type="dxa"/>
              <w:right w:w="15" w:type="dxa"/>
            </w:tcMar>
            <w:vAlign w:val="center"/>
          </w:tcPr>
          <w:p>
            <w:pPr>
              <w:widowControl/>
              <w:spacing w:line="260" w:lineRule="exact"/>
              <w:jc w:val="center"/>
              <w:textAlignment w:val="center"/>
              <w:rPr>
                <w:rFonts w:eastAsia="方正仿宋简体"/>
                <w:color w:val="000000"/>
                <w:kern w:val="0"/>
                <w:sz w:val="24"/>
              </w:rPr>
            </w:pPr>
          </w:p>
        </w:tc>
        <w:tc>
          <w:tcPr>
            <w:tcW w:w="1120" w:type="pct"/>
            <w:tcBorders>
              <w:top w:val="single" w:color="000000" w:sz="4" w:space="0"/>
              <w:left w:val="single" w:color="auto" w:sz="4" w:space="0"/>
              <w:bottom w:val="single" w:color="000000" w:sz="4" w:space="0"/>
              <w:right w:val="single" w:color="auto" w:sz="4" w:space="0"/>
            </w:tcBorders>
            <w:vAlign w:val="center"/>
          </w:tcPr>
          <w:p>
            <w:pPr>
              <w:widowControl/>
              <w:spacing w:line="260" w:lineRule="exact"/>
              <w:jc w:val="center"/>
              <w:textAlignment w:val="center"/>
              <w:rPr>
                <w:rFonts w:eastAsia="方正仿宋简体"/>
                <w:color w:val="000000"/>
                <w:kern w:val="0"/>
                <w:sz w:val="24"/>
              </w:rPr>
            </w:pPr>
          </w:p>
        </w:tc>
        <w:tc>
          <w:tcPr>
            <w:tcW w:w="906" w:type="pct"/>
            <w:tcBorders>
              <w:top w:val="single" w:color="000000" w:sz="4" w:space="0"/>
              <w:left w:val="single" w:color="auto" w:sz="4" w:space="0"/>
              <w:bottom w:val="single" w:color="000000" w:sz="4" w:space="0"/>
              <w:right w:val="single" w:color="auto" w:sz="4" w:space="0"/>
            </w:tcBorders>
            <w:vAlign w:val="center"/>
          </w:tcPr>
          <w:p>
            <w:pPr>
              <w:widowControl/>
              <w:spacing w:line="260" w:lineRule="exact"/>
              <w:jc w:val="center"/>
              <w:textAlignment w:val="center"/>
              <w:rPr>
                <w:rFonts w:eastAsia="方正仿宋简体"/>
                <w:color w:val="000000"/>
                <w:kern w:val="0"/>
                <w:sz w:val="24"/>
              </w:rPr>
            </w:pPr>
          </w:p>
        </w:tc>
        <w:tc>
          <w:tcPr>
            <w:tcW w:w="485" w:type="pct"/>
            <w:tcBorders>
              <w:top w:val="single" w:color="000000" w:sz="4" w:space="0"/>
              <w:left w:val="single" w:color="auto" w:sz="4" w:space="0"/>
              <w:bottom w:val="single" w:color="000000" w:sz="4" w:space="0"/>
              <w:right w:val="single" w:color="auto" w:sz="4" w:space="0"/>
            </w:tcBorders>
            <w:vAlign w:val="center"/>
          </w:tcPr>
          <w:p>
            <w:pPr>
              <w:widowControl/>
              <w:jc w:val="center"/>
              <w:textAlignment w:val="center"/>
              <w:rPr>
                <w:rFonts w:eastAsia="方正仿宋简体"/>
                <w:color w:val="000000"/>
                <w:kern w:val="0"/>
                <w:sz w:val="24"/>
              </w:rPr>
            </w:pPr>
          </w:p>
        </w:tc>
      </w:tr>
    </w:tbl>
    <w:p>
      <w:pPr>
        <w:jc w:val="left"/>
        <w:rPr>
          <w:sz w:val="24"/>
        </w:rPr>
      </w:pPr>
    </w:p>
    <w:p/>
    <w:sectPr>
      <w:footerReference r:id="rId4" w:type="default"/>
      <w:pgSz w:w="16838" w:h="11906" w:orient="landscape"/>
      <w:pgMar w:top="1588" w:right="1134" w:bottom="147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仿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sz w:val="24"/>
        <w:szCs w:val="24"/>
      </w:rPr>
    </w:pPr>
    <w:r>
      <w:rPr>
        <w:rStyle w:val="7"/>
        <w:rFonts w:hint="eastAsia"/>
        <w:sz w:val="24"/>
        <w:szCs w:val="24"/>
      </w:rPr>
      <w:t>—</w:t>
    </w:r>
    <w:r>
      <w:rPr>
        <w:rStyle w:val="7"/>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7</w:t>
    </w:r>
    <w:r>
      <w:rPr>
        <w:sz w:val="24"/>
        <w:szCs w:val="24"/>
      </w:rPr>
      <w:fldChar w:fldCharType="end"/>
    </w:r>
    <w:r>
      <w:rPr>
        <w:rStyle w:val="7"/>
        <w:sz w:val="24"/>
        <w:szCs w:val="24"/>
      </w:rPr>
      <w:t xml:space="preserve"> </w:t>
    </w:r>
    <w:r>
      <w:rPr>
        <w:rStyle w:val="7"/>
        <w:rFonts w:hint="eastAsia"/>
        <w:sz w:val="24"/>
        <w:szCs w:val="24"/>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B7C3D7C"/>
    <w:rsid w:val="002C232E"/>
    <w:rsid w:val="007E5DC2"/>
    <w:rsid w:val="00833B29"/>
    <w:rsid w:val="00B23C12"/>
    <w:rsid w:val="174D52A7"/>
    <w:rsid w:val="29280D17"/>
    <w:rsid w:val="2B6A4036"/>
    <w:rsid w:val="2DD80B3C"/>
    <w:rsid w:val="3299795B"/>
    <w:rsid w:val="343E63AD"/>
    <w:rsid w:val="35AB03BC"/>
    <w:rsid w:val="39CA4731"/>
    <w:rsid w:val="3B170F14"/>
    <w:rsid w:val="3B7C3D7C"/>
    <w:rsid w:val="3D4C295C"/>
    <w:rsid w:val="3E262143"/>
    <w:rsid w:val="3FF01F12"/>
    <w:rsid w:val="43FA7070"/>
    <w:rsid w:val="44361AEC"/>
    <w:rsid w:val="443F2C2D"/>
    <w:rsid w:val="44950D3A"/>
    <w:rsid w:val="44C607CE"/>
    <w:rsid w:val="44F968E5"/>
    <w:rsid w:val="48E46AE9"/>
    <w:rsid w:val="4F971C10"/>
    <w:rsid w:val="57484FF8"/>
    <w:rsid w:val="67124738"/>
    <w:rsid w:val="67127C2B"/>
    <w:rsid w:val="67F15196"/>
    <w:rsid w:val="69457046"/>
    <w:rsid w:val="73093E76"/>
    <w:rsid w:val="74266BBA"/>
    <w:rsid w:val="7CDD5A9D"/>
    <w:rsid w:val="7D6866A8"/>
    <w:rsid w:val="7F963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kern w:val="0"/>
      <w:sz w:val="24"/>
    </w:rPr>
  </w:style>
  <w:style w:type="character" w:styleId="7">
    <w:name w:val="page number"/>
    <w:basedOn w:val="6"/>
    <w:qFormat/>
    <w:uiPriority w:val="0"/>
    <w:rPr>
      <w:rFonts w:ascii="Times New Roman" w:hAnsi="Times New Roman" w:eastAsia="宋体" w:cs="Times New Roman"/>
    </w:rPr>
  </w:style>
  <w:style w:type="character" w:customStyle="1" w:styleId="8">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1368</Words>
  <Characters>7803</Characters>
  <Lines>65</Lines>
  <Paragraphs>18</Paragraphs>
  <TotalTime>59</TotalTime>
  <ScaleCrop>false</ScaleCrop>
  <LinksUpToDate>false</LinksUpToDate>
  <CharactersWithSpaces>9153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2021-04-13T08:00:00Z</dcterms:created>
  <dc:creator>可爸</dc:creator>
  <cp:lastModifiedBy>可爸</cp:lastModifiedBy>
  <dcterms:modified xsi:type="dcterms:W3CDTF">2021-04-13T10:04:06Z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533590536643432F88E5C75BE0F692F2</vt:lpwstr>
  </property>
</Properties>
</file>